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227CF" w14:textId="6D9F25EE" w:rsidR="00484AB2" w:rsidRPr="003E7FE3" w:rsidRDefault="00000000">
      <w:pPr>
        <w:rPr>
          <w:rFonts w:ascii="Source Sans Pro" w:hAnsi="Source Sans Pro"/>
          <w:b/>
          <w:bCs/>
          <w:lang w:val="fr-FR"/>
        </w:rPr>
      </w:pPr>
      <w:r w:rsidRPr="003E7FE3">
        <w:rPr>
          <w:rFonts w:ascii="Source Sans Pro" w:hAnsi="Source Sans Pro"/>
          <w:b/>
          <w:bCs/>
          <w:lang w:val="fr-FR"/>
        </w:rPr>
        <w:t xml:space="preserve"> </w:t>
      </w:r>
      <w:r w:rsidR="00791909" w:rsidRPr="003E7FE3">
        <w:rPr>
          <w:rFonts w:ascii="Source Sans Pro" w:hAnsi="Source Sans Pro"/>
          <w:b/>
          <w:bCs/>
          <w:noProof/>
        </w:rPr>
        <w:drawing>
          <wp:inline distT="0" distB="0" distL="0" distR="0" wp14:anchorId="0D7F14C6" wp14:editId="0AB1F9F7">
            <wp:extent cx="5731510" cy="1091565"/>
            <wp:effectExtent l="0" t="0" r="2540" b="0"/>
            <wp:docPr id="1856943307" name="Picture 1" descr="A green circle with red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943307" name="Picture 1" descr="A green circle with red and white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31510" cy="1091565"/>
                    </a:xfrm>
                    <a:prstGeom prst="rect">
                      <a:avLst/>
                    </a:prstGeom>
                  </pic:spPr>
                </pic:pic>
              </a:graphicData>
            </a:graphic>
          </wp:inline>
        </w:drawing>
      </w:r>
    </w:p>
    <w:p w14:paraId="4F9C6709" w14:textId="77777777" w:rsidR="00791909" w:rsidRPr="003E7FE3" w:rsidRDefault="00791909" w:rsidP="00791909">
      <w:pPr>
        <w:spacing w:after="0"/>
        <w:jc w:val="center"/>
        <w:rPr>
          <w:rFonts w:ascii="Source Sans Pro" w:hAnsi="Source Sans Pro"/>
          <w:b/>
          <w:bCs/>
          <w:sz w:val="32"/>
          <w:szCs w:val="32"/>
          <w:lang w:val="fr-FR"/>
        </w:rPr>
      </w:pPr>
      <w:r w:rsidRPr="003E7FE3">
        <w:rPr>
          <w:rFonts w:ascii="Source Sans Pro" w:hAnsi="Source Sans Pro"/>
          <w:b/>
          <w:bCs/>
          <w:sz w:val="32"/>
          <w:szCs w:val="32"/>
          <w:lang w:val="fr-FR"/>
        </w:rPr>
        <w:t>Projet :</w:t>
      </w:r>
    </w:p>
    <w:p w14:paraId="3E29A933" w14:textId="77777777" w:rsidR="00791909" w:rsidRPr="003E7FE3" w:rsidRDefault="00791909" w:rsidP="00791909">
      <w:pPr>
        <w:spacing w:after="0"/>
        <w:jc w:val="center"/>
        <w:rPr>
          <w:rFonts w:ascii="Source Sans Pro" w:hAnsi="Source Sans Pro"/>
          <w:b/>
          <w:bCs/>
          <w:sz w:val="32"/>
          <w:szCs w:val="32"/>
          <w:lang w:val="fr-FR"/>
        </w:rPr>
      </w:pPr>
      <w:r w:rsidRPr="003E7FE3">
        <w:rPr>
          <w:rFonts w:ascii="Source Sans Pro" w:hAnsi="Source Sans Pro"/>
          <w:b/>
          <w:bCs/>
          <w:sz w:val="32"/>
          <w:szCs w:val="32"/>
          <w:lang w:val="fr-FR"/>
        </w:rPr>
        <w:t>Appui aux plateformes nationales du riz pour en matière de substitution des importations de riz.</w:t>
      </w:r>
    </w:p>
    <w:p w14:paraId="5F4CD6B4" w14:textId="77777777" w:rsidR="00791909" w:rsidRPr="003E7FE3" w:rsidRDefault="00791909" w:rsidP="00791909">
      <w:pPr>
        <w:rPr>
          <w:rFonts w:ascii="Source Sans Pro" w:hAnsi="Source Sans Pro"/>
          <w:b/>
          <w:bCs/>
          <w:lang w:val="fr-FR"/>
        </w:rPr>
      </w:pPr>
    </w:p>
    <w:p w14:paraId="21D594AE" w14:textId="77777777" w:rsidR="00791909" w:rsidRPr="003E7FE3" w:rsidRDefault="00791909" w:rsidP="00791909">
      <w:pPr>
        <w:jc w:val="center"/>
        <w:rPr>
          <w:rFonts w:ascii="Source Sans Pro" w:hAnsi="Source Sans Pro"/>
          <w:b/>
          <w:bCs/>
          <w:sz w:val="32"/>
          <w:szCs w:val="32"/>
        </w:rPr>
      </w:pPr>
      <w:r w:rsidRPr="003E7FE3">
        <w:rPr>
          <w:rFonts w:ascii="Source Sans Pro" w:hAnsi="Source Sans Pro"/>
          <w:b/>
          <w:bCs/>
          <w:sz w:val="32"/>
          <w:szCs w:val="32"/>
        </w:rPr>
        <w:t xml:space="preserve">Avis à manifestation </w:t>
      </w:r>
      <w:proofErr w:type="spellStart"/>
      <w:r w:rsidRPr="003E7FE3">
        <w:rPr>
          <w:rFonts w:ascii="Source Sans Pro" w:hAnsi="Source Sans Pro"/>
          <w:b/>
          <w:bCs/>
          <w:sz w:val="32"/>
          <w:szCs w:val="32"/>
        </w:rPr>
        <w:t>d'intérêts</w:t>
      </w:r>
      <w:proofErr w:type="spellEnd"/>
    </w:p>
    <w:p w14:paraId="19B59029" w14:textId="77777777" w:rsidR="00791909" w:rsidRPr="003E7FE3" w:rsidRDefault="00791909" w:rsidP="00791909">
      <w:pPr>
        <w:jc w:val="center"/>
        <w:rPr>
          <w:rFonts w:ascii="Source Sans Pro" w:hAnsi="Source Sans Pro"/>
          <w:b/>
          <w:bCs/>
          <w:sz w:val="32"/>
          <w:szCs w:val="32"/>
        </w:rPr>
      </w:pPr>
    </w:p>
    <w:tbl>
      <w:tblPr>
        <w:tblStyle w:val="TableGrid"/>
        <w:tblW w:w="0" w:type="auto"/>
        <w:tblInd w:w="-234" w:type="dxa"/>
        <w:tblLook w:val="04A0" w:firstRow="1" w:lastRow="0" w:firstColumn="1" w:lastColumn="0" w:noHBand="0" w:noVBand="1"/>
      </w:tblPr>
      <w:tblGrid>
        <w:gridCol w:w="9016"/>
      </w:tblGrid>
      <w:tr w:rsidR="003E7FE3" w:rsidRPr="005060E2" w14:paraId="3A34C253" w14:textId="77777777" w:rsidTr="000667A7">
        <w:tc>
          <w:tcPr>
            <w:tcW w:w="9016" w:type="dxa"/>
          </w:tcPr>
          <w:p w14:paraId="65682A2B" w14:textId="77777777" w:rsidR="00791909" w:rsidRPr="003E7FE3" w:rsidRDefault="00791909" w:rsidP="000667A7">
            <w:pPr>
              <w:tabs>
                <w:tab w:val="left" w:pos="6912"/>
              </w:tabs>
              <w:ind w:left="-234"/>
              <w:jc w:val="center"/>
              <w:rPr>
                <w:rFonts w:ascii="Source Sans Pro" w:eastAsia="Times New Roman" w:hAnsi="Source Sans Pro"/>
                <w:sz w:val="28"/>
                <w:szCs w:val="28"/>
                <w:lang w:val="fr-FR"/>
              </w:rPr>
            </w:pPr>
          </w:p>
          <w:p w14:paraId="68269314" w14:textId="11090FC3" w:rsidR="00791909" w:rsidRPr="003E7FE3" w:rsidRDefault="00791909" w:rsidP="000667A7">
            <w:pPr>
              <w:tabs>
                <w:tab w:val="left" w:pos="6912"/>
              </w:tabs>
              <w:jc w:val="center"/>
              <w:rPr>
                <w:rFonts w:ascii="Source Sans Pro" w:eastAsia="Times New Roman" w:hAnsi="Source Sans Pro"/>
                <w:sz w:val="28"/>
                <w:szCs w:val="28"/>
                <w:lang w:val="fr-FR"/>
              </w:rPr>
            </w:pPr>
            <w:r w:rsidRPr="003E7FE3">
              <w:rPr>
                <w:rFonts w:ascii="Source Sans Pro" w:eastAsia="Times New Roman" w:hAnsi="Source Sans Pro"/>
                <w:sz w:val="28"/>
                <w:szCs w:val="28"/>
                <w:lang w:val="fr-FR"/>
              </w:rPr>
              <w:t>Inventaire des solutions de mécanisation évolutives (adaptées aux petits producteurs) pour le secteur du Riz, y compris les options de financement</w:t>
            </w:r>
          </w:p>
          <w:p w14:paraId="2AE54FD7" w14:textId="77777777" w:rsidR="00791909" w:rsidRPr="003E7FE3" w:rsidRDefault="00791909" w:rsidP="000667A7">
            <w:pPr>
              <w:tabs>
                <w:tab w:val="left" w:pos="6912"/>
              </w:tabs>
              <w:jc w:val="center"/>
              <w:rPr>
                <w:rFonts w:ascii="Source Sans Pro" w:eastAsia="Times New Roman" w:hAnsi="Source Sans Pro"/>
                <w:sz w:val="28"/>
                <w:szCs w:val="28"/>
                <w:lang w:val="fr-FR"/>
              </w:rPr>
            </w:pPr>
          </w:p>
        </w:tc>
      </w:tr>
    </w:tbl>
    <w:p w14:paraId="150FAE1E" w14:textId="77777777" w:rsidR="00791909" w:rsidRPr="003E7FE3" w:rsidRDefault="00791909" w:rsidP="00791909">
      <w:pPr>
        <w:tabs>
          <w:tab w:val="left" w:pos="6912"/>
        </w:tabs>
        <w:ind w:left="-234"/>
        <w:jc w:val="center"/>
        <w:rPr>
          <w:rFonts w:ascii="Source Sans Pro" w:eastAsia="Times New Roman" w:hAnsi="Source Sans Pro"/>
          <w:sz w:val="28"/>
          <w:szCs w:val="28"/>
          <w:lang w:val="fr-FR"/>
        </w:rPr>
      </w:pPr>
    </w:p>
    <w:p w14:paraId="15975EB6" w14:textId="77777777" w:rsidR="00791909" w:rsidRPr="003E7FE3" w:rsidRDefault="00791909" w:rsidP="00791909">
      <w:pPr>
        <w:tabs>
          <w:tab w:val="left" w:pos="6912"/>
        </w:tabs>
        <w:ind w:left="-234"/>
        <w:jc w:val="center"/>
        <w:rPr>
          <w:rFonts w:ascii="Source Sans Pro" w:eastAsia="Times New Roman" w:hAnsi="Source Sans Pro"/>
          <w:sz w:val="28"/>
          <w:szCs w:val="28"/>
          <w:lang w:val="fr-FR"/>
        </w:rPr>
      </w:pPr>
    </w:p>
    <w:p w14:paraId="6B192D3A" w14:textId="77777777" w:rsidR="00791909" w:rsidRPr="003E7FE3" w:rsidRDefault="00791909" w:rsidP="00791909">
      <w:pPr>
        <w:tabs>
          <w:tab w:val="left" w:pos="6912"/>
        </w:tabs>
        <w:ind w:left="-234"/>
        <w:jc w:val="center"/>
        <w:rPr>
          <w:rFonts w:ascii="Source Sans Pro" w:eastAsia="Times New Roman" w:hAnsi="Source Sans Pro"/>
          <w:sz w:val="28"/>
          <w:szCs w:val="28"/>
          <w:lang w:val="fr-FR"/>
        </w:rPr>
      </w:pPr>
    </w:p>
    <w:tbl>
      <w:tblPr>
        <w:tblStyle w:val="TableGrid"/>
        <w:tblW w:w="0" w:type="auto"/>
        <w:tblInd w:w="-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E7FE3" w:rsidRPr="003E7FE3" w14:paraId="10E29E7A" w14:textId="77777777" w:rsidTr="000667A7">
        <w:trPr>
          <w:trHeight w:val="510"/>
        </w:trPr>
        <w:tc>
          <w:tcPr>
            <w:tcW w:w="4508" w:type="dxa"/>
            <w:vAlign w:val="center"/>
          </w:tcPr>
          <w:p w14:paraId="3FE9045B" w14:textId="77777777" w:rsidR="00791909" w:rsidRPr="003E7FE3" w:rsidRDefault="00791909" w:rsidP="000667A7">
            <w:pPr>
              <w:tabs>
                <w:tab w:val="left" w:pos="6912"/>
              </w:tabs>
              <w:rPr>
                <w:rFonts w:ascii="Source Sans Pro" w:eastAsia="Times New Roman" w:hAnsi="Source Sans Pro"/>
                <w:b/>
                <w:bCs/>
                <w:sz w:val="24"/>
                <w:szCs w:val="24"/>
              </w:rPr>
            </w:pPr>
            <w:proofErr w:type="spellStart"/>
            <w:r w:rsidRPr="003E7FE3">
              <w:rPr>
                <w:rFonts w:ascii="Source Sans Pro" w:eastAsia="Times New Roman" w:hAnsi="Source Sans Pro"/>
                <w:b/>
                <w:bCs/>
                <w:sz w:val="24"/>
                <w:szCs w:val="24"/>
              </w:rPr>
              <w:t>Réference</w:t>
            </w:r>
            <w:proofErr w:type="spellEnd"/>
            <w:r w:rsidRPr="003E7FE3">
              <w:rPr>
                <w:rFonts w:ascii="Source Sans Pro" w:eastAsia="Times New Roman" w:hAnsi="Source Sans Pro"/>
                <w:b/>
                <w:bCs/>
                <w:sz w:val="24"/>
                <w:szCs w:val="24"/>
              </w:rPr>
              <w:t xml:space="preserve">: </w:t>
            </w:r>
          </w:p>
        </w:tc>
        <w:tc>
          <w:tcPr>
            <w:tcW w:w="4508" w:type="dxa"/>
            <w:tcBorders>
              <w:bottom w:val="single" w:sz="4" w:space="0" w:color="767171" w:themeColor="background2" w:themeShade="80"/>
            </w:tcBorders>
            <w:vAlign w:val="center"/>
          </w:tcPr>
          <w:p w14:paraId="6958DB51" w14:textId="1945BC95" w:rsidR="00791909" w:rsidRPr="003E7FE3" w:rsidRDefault="00791909" w:rsidP="000667A7">
            <w:pPr>
              <w:tabs>
                <w:tab w:val="left" w:pos="6912"/>
              </w:tabs>
              <w:rPr>
                <w:rFonts w:ascii="Source Sans Pro" w:eastAsia="Times New Roman" w:hAnsi="Source Sans Pro"/>
                <w:b/>
                <w:bCs/>
                <w:sz w:val="24"/>
                <w:szCs w:val="24"/>
              </w:rPr>
            </w:pPr>
            <w:r w:rsidRPr="003E7FE3">
              <w:rPr>
                <w:rFonts w:ascii="Source Sans Pro" w:eastAsia="Times New Roman" w:hAnsi="Source Sans Pro"/>
                <w:b/>
                <w:bCs/>
                <w:sz w:val="24"/>
                <w:szCs w:val="24"/>
              </w:rPr>
              <w:t>ARAA/BMGF/2023/SCI/</w:t>
            </w:r>
            <w:r w:rsidR="005060E2">
              <w:rPr>
                <w:rFonts w:ascii="Source Sans Pro" w:eastAsia="Times New Roman" w:hAnsi="Source Sans Pro"/>
                <w:b/>
                <w:bCs/>
                <w:sz w:val="24"/>
                <w:szCs w:val="24"/>
              </w:rPr>
              <w:t>036</w:t>
            </w:r>
          </w:p>
        </w:tc>
      </w:tr>
      <w:tr w:rsidR="003E7FE3" w:rsidRPr="003E7FE3" w14:paraId="15AB3A34" w14:textId="77777777" w:rsidTr="000667A7">
        <w:trPr>
          <w:trHeight w:val="510"/>
        </w:trPr>
        <w:tc>
          <w:tcPr>
            <w:tcW w:w="4508" w:type="dxa"/>
            <w:vAlign w:val="center"/>
          </w:tcPr>
          <w:p w14:paraId="60E65EF2" w14:textId="57DD03B5" w:rsidR="00791909" w:rsidRPr="003E7FE3" w:rsidRDefault="00791909" w:rsidP="000667A7">
            <w:pPr>
              <w:tabs>
                <w:tab w:val="left" w:pos="6912"/>
              </w:tabs>
              <w:rPr>
                <w:rFonts w:ascii="Source Sans Pro" w:eastAsia="Times New Roman" w:hAnsi="Source Sans Pro"/>
                <w:b/>
                <w:bCs/>
                <w:sz w:val="24"/>
                <w:szCs w:val="24"/>
              </w:rPr>
            </w:pPr>
            <w:r w:rsidRPr="003E7FE3">
              <w:rPr>
                <w:rFonts w:ascii="Source Sans Pro" w:eastAsia="Times New Roman" w:hAnsi="Source Sans Pro"/>
                <w:b/>
                <w:bCs/>
                <w:sz w:val="24"/>
                <w:szCs w:val="24"/>
              </w:rPr>
              <w:t xml:space="preserve">Source de </w:t>
            </w:r>
            <w:proofErr w:type="spellStart"/>
            <w:r w:rsidRPr="003E7FE3">
              <w:rPr>
                <w:rFonts w:ascii="Source Sans Pro" w:eastAsia="Times New Roman" w:hAnsi="Source Sans Pro"/>
                <w:b/>
                <w:bCs/>
                <w:sz w:val="24"/>
                <w:szCs w:val="24"/>
              </w:rPr>
              <w:t>financement</w:t>
            </w:r>
            <w:proofErr w:type="spellEnd"/>
          </w:p>
        </w:tc>
        <w:tc>
          <w:tcPr>
            <w:tcW w:w="4508" w:type="dxa"/>
            <w:tcBorders>
              <w:bottom w:val="single" w:sz="4" w:space="0" w:color="767171" w:themeColor="background2" w:themeShade="80"/>
            </w:tcBorders>
            <w:vAlign w:val="center"/>
          </w:tcPr>
          <w:p w14:paraId="00D565B3" w14:textId="77777777" w:rsidR="00791909" w:rsidRPr="003E7FE3" w:rsidRDefault="00791909" w:rsidP="000667A7">
            <w:pPr>
              <w:tabs>
                <w:tab w:val="left" w:pos="6912"/>
              </w:tabs>
              <w:rPr>
                <w:rFonts w:ascii="Source Sans Pro" w:eastAsia="Times New Roman" w:hAnsi="Source Sans Pro"/>
                <w:b/>
                <w:bCs/>
                <w:sz w:val="24"/>
                <w:szCs w:val="24"/>
              </w:rPr>
            </w:pPr>
            <w:r w:rsidRPr="003E7FE3">
              <w:rPr>
                <w:rFonts w:ascii="Source Sans Pro" w:eastAsia="Times New Roman" w:hAnsi="Source Sans Pro"/>
                <w:b/>
                <w:bCs/>
                <w:sz w:val="24"/>
                <w:szCs w:val="24"/>
              </w:rPr>
              <w:t>BILL AND MELINDA GATES FOUNDATION</w:t>
            </w:r>
          </w:p>
        </w:tc>
      </w:tr>
      <w:tr w:rsidR="003E7FE3" w:rsidRPr="003E7FE3" w14:paraId="49A99C9B" w14:textId="77777777" w:rsidTr="000667A7">
        <w:trPr>
          <w:trHeight w:val="510"/>
        </w:trPr>
        <w:tc>
          <w:tcPr>
            <w:tcW w:w="4508" w:type="dxa"/>
            <w:vAlign w:val="center"/>
          </w:tcPr>
          <w:p w14:paraId="64E49CE1" w14:textId="77777777" w:rsidR="00791909" w:rsidRPr="003E7FE3" w:rsidRDefault="00791909" w:rsidP="000667A7">
            <w:pPr>
              <w:tabs>
                <w:tab w:val="left" w:pos="6912"/>
              </w:tabs>
              <w:rPr>
                <w:rFonts w:ascii="Source Sans Pro" w:eastAsia="Times New Roman" w:hAnsi="Source Sans Pro"/>
                <w:b/>
                <w:bCs/>
                <w:sz w:val="24"/>
                <w:szCs w:val="24"/>
              </w:rPr>
            </w:pPr>
            <w:r w:rsidRPr="003E7FE3">
              <w:rPr>
                <w:rFonts w:ascii="Source Sans Pro" w:eastAsia="Times New Roman" w:hAnsi="Source Sans Pro"/>
                <w:b/>
                <w:bCs/>
                <w:sz w:val="24"/>
                <w:szCs w:val="24"/>
              </w:rPr>
              <w:t xml:space="preserve">Date de publication: </w:t>
            </w:r>
          </w:p>
        </w:tc>
        <w:tc>
          <w:tcPr>
            <w:tcW w:w="4508" w:type="dxa"/>
            <w:tcBorders>
              <w:top w:val="single" w:sz="4" w:space="0" w:color="767171" w:themeColor="background2" w:themeShade="80"/>
              <w:bottom w:val="single" w:sz="4" w:space="0" w:color="767171" w:themeColor="background2" w:themeShade="80"/>
            </w:tcBorders>
            <w:vAlign w:val="center"/>
          </w:tcPr>
          <w:p w14:paraId="31634DBA" w14:textId="77777777" w:rsidR="00791909" w:rsidRPr="003E7FE3" w:rsidRDefault="00791909" w:rsidP="000667A7">
            <w:pPr>
              <w:tabs>
                <w:tab w:val="left" w:pos="6912"/>
              </w:tabs>
              <w:rPr>
                <w:rFonts w:ascii="Source Sans Pro" w:eastAsia="Times New Roman" w:hAnsi="Source Sans Pro"/>
                <w:b/>
                <w:bCs/>
                <w:sz w:val="24"/>
                <w:szCs w:val="24"/>
              </w:rPr>
            </w:pPr>
            <w:r w:rsidRPr="003E7FE3">
              <w:rPr>
                <w:rFonts w:ascii="Source Sans Pro" w:eastAsia="Times New Roman" w:hAnsi="Source Sans Pro"/>
                <w:b/>
                <w:bCs/>
                <w:sz w:val="24"/>
                <w:szCs w:val="24"/>
              </w:rPr>
              <w:t xml:space="preserve">25 </w:t>
            </w:r>
            <w:proofErr w:type="spellStart"/>
            <w:r w:rsidRPr="003E7FE3">
              <w:rPr>
                <w:rFonts w:ascii="Source Sans Pro" w:eastAsia="Times New Roman" w:hAnsi="Source Sans Pro"/>
                <w:b/>
                <w:bCs/>
                <w:sz w:val="24"/>
                <w:szCs w:val="24"/>
              </w:rPr>
              <w:t>août</w:t>
            </w:r>
            <w:proofErr w:type="spellEnd"/>
            <w:r w:rsidRPr="003E7FE3">
              <w:rPr>
                <w:rFonts w:ascii="Source Sans Pro" w:eastAsia="Times New Roman" w:hAnsi="Source Sans Pro"/>
                <w:b/>
                <w:bCs/>
                <w:sz w:val="24"/>
                <w:szCs w:val="24"/>
              </w:rPr>
              <w:t xml:space="preserve"> 2023</w:t>
            </w:r>
          </w:p>
        </w:tc>
      </w:tr>
      <w:tr w:rsidR="003E7FE3" w:rsidRPr="003E7FE3" w14:paraId="12AB94A6" w14:textId="77777777" w:rsidTr="000667A7">
        <w:trPr>
          <w:trHeight w:val="510"/>
        </w:trPr>
        <w:tc>
          <w:tcPr>
            <w:tcW w:w="4508" w:type="dxa"/>
            <w:vAlign w:val="center"/>
          </w:tcPr>
          <w:p w14:paraId="0AE9BD74" w14:textId="77777777" w:rsidR="00791909" w:rsidRPr="003E7FE3" w:rsidRDefault="00791909" w:rsidP="000667A7">
            <w:pPr>
              <w:tabs>
                <w:tab w:val="left" w:pos="6912"/>
              </w:tabs>
              <w:rPr>
                <w:rFonts w:ascii="Source Sans Pro" w:eastAsia="Times New Roman" w:hAnsi="Source Sans Pro"/>
                <w:b/>
                <w:bCs/>
                <w:sz w:val="24"/>
                <w:szCs w:val="24"/>
              </w:rPr>
            </w:pPr>
            <w:r w:rsidRPr="003E7FE3">
              <w:rPr>
                <w:rFonts w:ascii="Source Sans Pro" w:eastAsia="Times New Roman" w:hAnsi="Source Sans Pro"/>
                <w:b/>
                <w:bCs/>
                <w:sz w:val="24"/>
                <w:szCs w:val="24"/>
              </w:rPr>
              <w:t xml:space="preserve">Date </w:t>
            </w:r>
            <w:proofErr w:type="spellStart"/>
            <w:r w:rsidRPr="003E7FE3">
              <w:rPr>
                <w:rFonts w:ascii="Source Sans Pro" w:eastAsia="Times New Roman" w:hAnsi="Source Sans Pro"/>
                <w:b/>
                <w:bCs/>
                <w:sz w:val="24"/>
                <w:szCs w:val="24"/>
              </w:rPr>
              <w:t>limite</w:t>
            </w:r>
            <w:proofErr w:type="spellEnd"/>
            <w:r w:rsidRPr="003E7FE3">
              <w:rPr>
                <w:rFonts w:ascii="Source Sans Pro" w:eastAsia="Times New Roman" w:hAnsi="Source Sans Pro"/>
                <w:b/>
                <w:bCs/>
                <w:sz w:val="24"/>
                <w:szCs w:val="24"/>
              </w:rPr>
              <w:t xml:space="preserve"> de </w:t>
            </w:r>
            <w:proofErr w:type="spellStart"/>
            <w:r w:rsidRPr="003E7FE3">
              <w:rPr>
                <w:rFonts w:ascii="Source Sans Pro" w:eastAsia="Times New Roman" w:hAnsi="Source Sans Pro"/>
                <w:b/>
                <w:bCs/>
                <w:sz w:val="24"/>
                <w:szCs w:val="24"/>
              </w:rPr>
              <w:t>soumission</w:t>
            </w:r>
            <w:proofErr w:type="spellEnd"/>
            <w:r w:rsidRPr="003E7FE3">
              <w:rPr>
                <w:rFonts w:ascii="Source Sans Pro" w:eastAsia="Times New Roman" w:hAnsi="Source Sans Pro"/>
                <w:b/>
                <w:bCs/>
                <w:sz w:val="24"/>
                <w:szCs w:val="24"/>
              </w:rPr>
              <w:t xml:space="preserve"> </w:t>
            </w:r>
          </w:p>
        </w:tc>
        <w:tc>
          <w:tcPr>
            <w:tcW w:w="4508" w:type="dxa"/>
            <w:tcBorders>
              <w:top w:val="single" w:sz="4" w:space="0" w:color="767171" w:themeColor="background2" w:themeShade="80"/>
              <w:bottom w:val="single" w:sz="4" w:space="0" w:color="767171" w:themeColor="background2" w:themeShade="80"/>
            </w:tcBorders>
            <w:vAlign w:val="center"/>
          </w:tcPr>
          <w:p w14:paraId="4415C822" w14:textId="77777777" w:rsidR="00791909" w:rsidRPr="003E7FE3" w:rsidRDefault="00791909" w:rsidP="000667A7">
            <w:pPr>
              <w:tabs>
                <w:tab w:val="left" w:pos="6912"/>
              </w:tabs>
              <w:rPr>
                <w:rFonts w:ascii="Source Sans Pro" w:eastAsia="Times New Roman" w:hAnsi="Source Sans Pro"/>
                <w:b/>
                <w:bCs/>
                <w:sz w:val="24"/>
                <w:szCs w:val="24"/>
              </w:rPr>
            </w:pPr>
            <w:r w:rsidRPr="003E7FE3">
              <w:rPr>
                <w:rFonts w:ascii="Source Sans Pro" w:eastAsia="Times New Roman" w:hAnsi="Source Sans Pro"/>
                <w:b/>
                <w:bCs/>
                <w:sz w:val="24"/>
                <w:szCs w:val="24"/>
              </w:rPr>
              <w:t xml:space="preserve">12 </w:t>
            </w:r>
            <w:proofErr w:type="spellStart"/>
            <w:r w:rsidRPr="003E7FE3">
              <w:rPr>
                <w:rFonts w:ascii="Source Sans Pro" w:eastAsia="Times New Roman" w:hAnsi="Source Sans Pro"/>
                <w:b/>
                <w:bCs/>
                <w:sz w:val="24"/>
                <w:szCs w:val="24"/>
              </w:rPr>
              <w:t>septembre</w:t>
            </w:r>
            <w:proofErr w:type="spellEnd"/>
            <w:r w:rsidRPr="003E7FE3">
              <w:rPr>
                <w:rFonts w:ascii="Source Sans Pro" w:eastAsia="Times New Roman" w:hAnsi="Source Sans Pro"/>
                <w:b/>
                <w:bCs/>
                <w:sz w:val="24"/>
                <w:szCs w:val="24"/>
              </w:rPr>
              <w:t xml:space="preserve"> 2023 – 17:00 GMT</w:t>
            </w:r>
          </w:p>
        </w:tc>
      </w:tr>
    </w:tbl>
    <w:p w14:paraId="5B72650B" w14:textId="77777777" w:rsidR="00791909" w:rsidRPr="003E7FE3" w:rsidRDefault="00791909" w:rsidP="00791909">
      <w:pPr>
        <w:tabs>
          <w:tab w:val="left" w:pos="6912"/>
        </w:tabs>
        <w:ind w:left="-234"/>
        <w:jc w:val="center"/>
        <w:rPr>
          <w:rFonts w:ascii="Source Sans Pro" w:eastAsia="Times New Roman" w:hAnsi="Source Sans Pro"/>
          <w:sz w:val="28"/>
          <w:szCs w:val="28"/>
        </w:rPr>
        <w:sectPr w:rsidR="00791909" w:rsidRPr="003E7FE3">
          <w:footerReference w:type="default" r:id="rId9"/>
          <w:pgSz w:w="11906" w:h="16838"/>
          <w:pgMar w:top="1440" w:right="1440" w:bottom="1440" w:left="1440" w:header="708" w:footer="708" w:gutter="0"/>
          <w:cols w:space="708"/>
          <w:docGrid w:linePitch="360"/>
        </w:sectPr>
      </w:pPr>
    </w:p>
    <w:p w14:paraId="2C2E8796" w14:textId="77777777" w:rsidR="00484AB2" w:rsidRPr="003E7FE3" w:rsidRDefault="00000000">
      <w:pPr>
        <w:pStyle w:val="Heading1"/>
        <w:numPr>
          <w:ilvl w:val="0"/>
          <w:numId w:val="2"/>
        </w:numPr>
        <w:rPr>
          <w:rFonts w:ascii="Source Sans Pro" w:eastAsia="Times New Roman" w:hAnsi="Source Sans Pro"/>
          <w:color w:val="auto"/>
          <w:sz w:val="24"/>
          <w:szCs w:val="24"/>
        </w:rPr>
      </w:pPr>
      <w:proofErr w:type="spellStart"/>
      <w:r w:rsidRPr="003E7FE3">
        <w:rPr>
          <w:rFonts w:ascii="Source Sans Pro" w:eastAsia="Times New Roman" w:hAnsi="Source Sans Pro"/>
          <w:color w:val="auto"/>
          <w:sz w:val="24"/>
          <w:szCs w:val="24"/>
        </w:rPr>
        <w:lastRenderedPageBreak/>
        <w:t>Historique</w:t>
      </w:r>
      <w:proofErr w:type="spellEnd"/>
    </w:p>
    <w:p w14:paraId="73381BD8" w14:textId="77777777" w:rsidR="00791909" w:rsidRPr="003E7FE3" w:rsidRDefault="00791909" w:rsidP="00791909">
      <w:pPr>
        <w:rPr>
          <w:rFonts w:ascii="Source Sans Pro" w:hAnsi="Source Sans Pro"/>
        </w:rPr>
      </w:pPr>
    </w:p>
    <w:p w14:paraId="10144B07" w14:textId="77777777" w:rsidR="00484AB2" w:rsidRPr="003E7FE3" w:rsidRDefault="00000000">
      <w:pPr>
        <w:jc w:val="both"/>
        <w:rPr>
          <w:rFonts w:ascii="Source Sans Pro" w:eastAsia="Times New Roman" w:hAnsi="Source Sans Pro"/>
          <w:lang w:val="fr-FR"/>
        </w:rPr>
      </w:pPr>
      <w:proofErr w:type="gramStart"/>
      <w:r w:rsidRPr="003E7FE3">
        <w:rPr>
          <w:rFonts w:ascii="Source Sans Pro" w:eastAsia="Times New Roman" w:hAnsi="Source Sans Pro"/>
          <w:lang w:val="fr"/>
        </w:rPr>
        <w:t>L</w:t>
      </w:r>
      <w:r w:rsidRPr="003E7FE3">
        <w:rPr>
          <w:rFonts w:ascii="Source Sans Pro" w:eastAsia="Times New Roman" w:hAnsi="Source Sans Pro"/>
          <w:lang w:val="fr-FR"/>
        </w:rPr>
        <w:t>’augmentation</w:t>
      </w:r>
      <w:r w:rsidRPr="003E7FE3">
        <w:rPr>
          <w:rFonts w:ascii="Source Sans Pro" w:eastAsia="Times New Roman" w:hAnsi="Source Sans Pro"/>
          <w:lang w:val="fr"/>
        </w:rPr>
        <w:t xml:space="preserve"> </w:t>
      </w:r>
      <w:r w:rsidRPr="003E7FE3">
        <w:rPr>
          <w:rFonts w:ascii="Source Sans Pro" w:eastAsia="Times New Roman" w:hAnsi="Source Sans Pro"/>
          <w:lang w:val="fr-FR"/>
        </w:rPr>
        <w:t xml:space="preserve"> de</w:t>
      </w:r>
      <w:proofErr w:type="gramEnd"/>
      <w:r w:rsidRPr="003E7FE3">
        <w:rPr>
          <w:rFonts w:ascii="Source Sans Pro" w:eastAsia="Times New Roman" w:hAnsi="Source Sans Pro"/>
          <w:lang w:val="fr-FR"/>
        </w:rPr>
        <w:t xml:space="preserve"> la </w:t>
      </w:r>
      <w:proofErr w:type="spellStart"/>
      <w:r w:rsidRPr="003E7FE3">
        <w:rPr>
          <w:rFonts w:ascii="Source Sans Pro" w:eastAsia="Times New Roman" w:hAnsi="Source Sans Pro"/>
          <w:lang w:val="fr"/>
        </w:rPr>
        <w:t>démographi</w:t>
      </w:r>
      <w:proofErr w:type="spellEnd"/>
      <w:r w:rsidRPr="003E7FE3">
        <w:rPr>
          <w:rFonts w:ascii="Source Sans Pro" w:eastAsia="Times New Roman" w:hAnsi="Source Sans Pro"/>
          <w:lang w:val="fr-FR"/>
        </w:rPr>
        <w:t>e</w:t>
      </w:r>
      <w:r w:rsidRPr="003E7FE3">
        <w:rPr>
          <w:rFonts w:ascii="Source Sans Pro" w:eastAsia="Times New Roman" w:hAnsi="Source Sans Pro"/>
          <w:lang w:val="fr"/>
        </w:rPr>
        <w:t xml:space="preserve"> croissante, l’urbanisation et l’évolution des préférences des consommateurs ont continué d’élargir l’écart dans l’offre de riz, et aucun pays d’Afrique de l’Ouest n’a été en mesure d’atteindre l’autosuffisance en riz malgré les conditions agro</w:t>
      </w:r>
      <w:r w:rsidRPr="003E7FE3">
        <w:rPr>
          <w:rFonts w:ascii="Source Sans Pro" w:eastAsia="Times New Roman" w:hAnsi="Source Sans Pro"/>
          <w:lang w:val="fr-FR"/>
        </w:rPr>
        <w:t>-</w:t>
      </w:r>
      <w:r w:rsidRPr="003E7FE3">
        <w:rPr>
          <w:rFonts w:ascii="Source Sans Pro" w:eastAsia="Times New Roman" w:hAnsi="Source Sans Pro"/>
          <w:lang w:val="fr"/>
        </w:rPr>
        <w:t xml:space="preserve">climatiques et la disponibilité </w:t>
      </w:r>
      <w:r w:rsidRPr="003E7FE3">
        <w:rPr>
          <w:rFonts w:ascii="Source Sans Pro" w:eastAsia="Times New Roman" w:hAnsi="Source Sans Pro"/>
          <w:lang w:val="fr-FR"/>
        </w:rPr>
        <w:t>en</w:t>
      </w:r>
      <w:r w:rsidRPr="003E7FE3">
        <w:rPr>
          <w:rFonts w:ascii="Source Sans Pro" w:eastAsia="Times New Roman" w:hAnsi="Source Sans Pro"/>
          <w:lang w:val="fr"/>
        </w:rPr>
        <w:t xml:space="preserve"> eau appropriées pour répondre à la demande régionale. La Commission de la Communauté </w:t>
      </w:r>
      <w:r w:rsidRPr="003E7FE3">
        <w:rPr>
          <w:rFonts w:ascii="Source Sans Pro" w:eastAsia="Times New Roman" w:hAnsi="Source Sans Pro"/>
          <w:lang w:val="fr-FR"/>
        </w:rPr>
        <w:t>E</w:t>
      </w:r>
      <w:proofErr w:type="spellStart"/>
      <w:r w:rsidRPr="003E7FE3">
        <w:rPr>
          <w:rFonts w:ascii="Source Sans Pro" w:eastAsia="Times New Roman" w:hAnsi="Source Sans Pro"/>
          <w:lang w:val="fr"/>
        </w:rPr>
        <w:t>conomique</w:t>
      </w:r>
      <w:proofErr w:type="spellEnd"/>
      <w:r w:rsidRPr="003E7FE3">
        <w:rPr>
          <w:rFonts w:ascii="Source Sans Pro" w:eastAsia="Times New Roman" w:hAnsi="Source Sans Pro"/>
          <w:lang w:val="fr"/>
        </w:rPr>
        <w:t xml:space="preserve"> des </w:t>
      </w:r>
      <w:r w:rsidRPr="003E7FE3">
        <w:rPr>
          <w:rFonts w:ascii="Source Sans Pro" w:eastAsia="Times New Roman" w:hAnsi="Source Sans Pro"/>
          <w:lang w:val="fr-FR"/>
        </w:rPr>
        <w:t>E</w:t>
      </w:r>
      <w:proofErr w:type="spellStart"/>
      <w:r w:rsidRPr="003E7FE3">
        <w:rPr>
          <w:rFonts w:ascii="Source Sans Pro" w:eastAsia="Times New Roman" w:hAnsi="Source Sans Pro"/>
          <w:lang w:val="fr"/>
        </w:rPr>
        <w:t>tats</w:t>
      </w:r>
      <w:proofErr w:type="spellEnd"/>
      <w:r w:rsidRPr="003E7FE3">
        <w:rPr>
          <w:rFonts w:ascii="Source Sans Pro" w:eastAsia="Times New Roman" w:hAnsi="Source Sans Pro"/>
          <w:lang w:val="fr"/>
        </w:rPr>
        <w:t xml:space="preserve"> de l’Afrique de l’Ouest (CEDEAO) a adopté l’</w:t>
      </w:r>
      <w:r w:rsidRPr="003E7FE3">
        <w:rPr>
          <w:rFonts w:ascii="Source Sans Pro" w:eastAsia="Times New Roman" w:hAnsi="Source Sans Pro"/>
          <w:lang w:val="fr-FR"/>
        </w:rPr>
        <w:t>O</w:t>
      </w:r>
      <w:proofErr w:type="spellStart"/>
      <w:r w:rsidRPr="003E7FE3">
        <w:rPr>
          <w:rFonts w:ascii="Source Sans Pro" w:eastAsia="Times New Roman" w:hAnsi="Source Sans Pro"/>
          <w:lang w:val="fr"/>
        </w:rPr>
        <w:t>ffensive</w:t>
      </w:r>
      <w:proofErr w:type="spellEnd"/>
      <w:r w:rsidRPr="003E7FE3">
        <w:rPr>
          <w:rFonts w:ascii="Source Sans Pro" w:eastAsia="Times New Roman" w:hAnsi="Source Sans Pro"/>
          <w:lang w:val="fr"/>
        </w:rPr>
        <w:t xml:space="preserve"> </w:t>
      </w:r>
      <w:r w:rsidRPr="003E7FE3">
        <w:rPr>
          <w:rFonts w:ascii="Source Sans Pro" w:eastAsia="Times New Roman" w:hAnsi="Source Sans Pro"/>
          <w:lang w:val="fr-FR"/>
        </w:rPr>
        <w:t>Riz</w:t>
      </w:r>
      <w:r w:rsidRPr="003E7FE3">
        <w:rPr>
          <w:rFonts w:ascii="Source Sans Pro" w:eastAsia="Times New Roman" w:hAnsi="Source Sans Pro"/>
          <w:lang w:val="fr"/>
        </w:rPr>
        <w:t xml:space="preserve"> de la CEDEAO en 2014, en tant que cadre stratégique pour engendrer une relance durable et soutenue de la riziculture en Afrique de l’Ouest et pour fournir un soutien aux stratégies nationales de développement du riz des États membres en vue d’atteindre l’autosuffisance en riz d’ici 2025. Pour accélérer la mise en œuvre de l’offensive riz, un plan d’action régional sur le riz a été élaboré en 2020 pour s’assurer que la région atteigne l’objectif.  Pour atteindre cet objectif, la CEDEAO, en collaboration avec plusieurs partenaires au développement, dont la Fondation Bill &amp; Melinda Gates, le BMZ-GIZ, </w:t>
      </w:r>
      <w:proofErr w:type="spellStart"/>
      <w:r w:rsidRPr="003E7FE3">
        <w:rPr>
          <w:rFonts w:ascii="Source Sans Pro" w:eastAsia="Times New Roman" w:hAnsi="Source Sans Pro"/>
          <w:lang w:val="fr"/>
        </w:rPr>
        <w:t>AfricaRice</w:t>
      </w:r>
      <w:proofErr w:type="spellEnd"/>
      <w:r w:rsidRPr="003E7FE3">
        <w:rPr>
          <w:rFonts w:ascii="Source Sans Pro" w:eastAsia="Times New Roman" w:hAnsi="Source Sans Pro"/>
          <w:lang w:val="fr"/>
        </w:rPr>
        <w:t xml:space="preserve">, la Banque </w:t>
      </w:r>
      <w:r w:rsidRPr="003E7FE3">
        <w:rPr>
          <w:rFonts w:ascii="Source Sans Pro" w:eastAsia="Times New Roman" w:hAnsi="Source Sans Pro"/>
          <w:lang w:val="fr-FR"/>
        </w:rPr>
        <w:t>A</w:t>
      </w:r>
      <w:proofErr w:type="spellStart"/>
      <w:r w:rsidRPr="003E7FE3">
        <w:rPr>
          <w:rFonts w:ascii="Source Sans Pro" w:eastAsia="Times New Roman" w:hAnsi="Source Sans Pro"/>
          <w:lang w:val="fr"/>
        </w:rPr>
        <w:t>fricaine</w:t>
      </w:r>
      <w:proofErr w:type="spellEnd"/>
      <w:r w:rsidRPr="003E7FE3">
        <w:rPr>
          <w:rFonts w:ascii="Source Sans Pro" w:eastAsia="Times New Roman" w:hAnsi="Source Sans Pro"/>
          <w:lang w:val="fr"/>
        </w:rPr>
        <w:t xml:space="preserve"> de </w:t>
      </w:r>
      <w:r w:rsidRPr="003E7FE3">
        <w:rPr>
          <w:rFonts w:ascii="Source Sans Pro" w:eastAsia="Times New Roman" w:hAnsi="Source Sans Pro"/>
          <w:lang w:val="fr-FR"/>
        </w:rPr>
        <w:t>D</w:t>
      </w:r>
      <w:proofErr w:type="spellStart"/>
      <w:r w:rsidRPr="003E7FE3">
        <w:rPr>
          <w:rFonts w:ascii="Source Sans Pro" w:eastAsia="Times New Roman" w:hAnsi="Source Sans Pro"/>
          <w:lang w:val="fr"/>
        </w:rPr>
        <w:t>éveloppement</w:t>
      </w:r>
      <w:proofErr w:type="spellEnd"/>
      <w:r w:rsidRPr="003E7FE3">
        <w:rPr>
          <w:rFonts w:ascii="Source Sans Pro" w:eastAsia="Times New Roman" w:hAnsi="Source Sans Pro"/>
          <w:lang w:val="fr"/>
        </w:rPr>
        <w:t xml:space="preserve"> (BAD), la Banque </w:t>
      </w:r>
      <w:r w:rsidRPr="003E7FE3">
        <w:rPr>
          <w:rFonts w:ascii="Source Sans Pro" w:eastAsia="Times New Roman" w:hAnsi="Source Sans Pro"/>
          <w:lang w:val="fr-FR"/>
        </w:rPr>
        <w:t>I</w:t>
      </w:r>
      <w:proofErr w:type="spellStart"/>
      <w:r w:rsidRPr="003E7FE3">
        <w:rPr>
          <w:rFonts w:ascii="Source Sans Pro" w:eastAsia="Times New Roman" w:hAnsi="Source Sans Pro"/>
          <w:lang w:val="fr"/>
        </w:rPr>
        <w:t>slamique</w:t>
      </w:r>
      <w:proofErr w:type="spellEnd"/>
      <w:r w:rsidRPr="003E7FE3">
        <w:rPr>
          <w:rFonts w:ascii="Source Sans Pro" w:eastAsia="Times New Roman" w:hAnsi="Source Sans Pro"/>
          <w:lang w:val="fr"/>
        </w:rPr>
        <w:t xml:space="preserve"> de </w:t>
      </w:r>
      <w:r w:rsidRPr="003E7FE3">
        <w:rPr>
          <w:rFonts w:ascii="Source Sans Pro" w:eastAsia="Times New Roman" w:hAnsi="Source Sans Pro"/>
          <w:lang w:val="fr-FR"/>
        </w:rPr>
        <w:t>D</w:t>
      </w:r>
      <w:proofErr w:type="spellStart"/>
      <w:r w:rsidRPr="003E7FE3">
        <w:rPr>
          <w:rFonts w:ascii="Source Sans Pro" w:eastAsia="Times New Roman" w:hAnsi="Source Sans Pro"/>
          <w:lang w:val="fr"/>
        </w:rPr>
        <w:t>éveloppement</w:t>
      </w:r>
      <w:proofErr w:type="spellEnd"/>
      <w:r w:rsidRPr="003E7FE3">
        <w:rPr>
          <w:rFonts w:ascii="Source Sans Pro" w:eastAsia="Times New Roman" w:hAnsi="Source Sans Pro"/>
          <w:lang w:val="fr"/>
        </w:rPr>
        <w:t xml:space="preserve"> (BID), la FCDO, l’AGRA, la JICA/CARD, la Banque </w:t>
      </w:r>
      <w:r w:rsidRPr="003E7FE3">
        <w:rPr>
          <w:rFonts w:ascii="Source Sans Pro" w:eastAsia="Times New Roman" w:hAnsi="Source Sans Pro"/>
          <w:lang w:val="fr-FR"/>
        </w:rPr>
        <w:t>M</w:t>
      </w:r>
      <w:proofErr w:type="spellStart"/>
      <w:r w:rsidRPr="003E7FE3">
        <w:rPr>
          <w:rFonts w:ascii="Source Sans Pro" w:eastAsia="Times New Roman" w:hAnsi="Source Sans Pro"/>
          <w:lang w:val="fr"/>
        </w:rPr>
        <w:t>ondiale</w:t>
      </w:r>
      <w:proofErr w:type="spellEnd"/>
      <w:r w:rsidRPr="003E7FE3">
        <w:rPr>
          <w:rFonts w:ascii="Source Sans Pro" w:eastAsia="Times New Roman" w:hAnsi="Source Sans Pro"/>
          <w:lang w:val="fr"/>
        </w:rPr>
        <w:t xml:space="preserve"> et d’autres, a créé </w:t>
      </w:r>
      <w:proofErr w:type="gramStart"/>
      <w:r w:rsidRPr="003E7FE3">
        <w:rPr>
          <w:rFonts w:ascii="Source Sans Pro" w:eastAsia="Times New Roman" w:hAnsi="Source Sans Pro"/>
          <w:lang w:val="fr"/>
        </w:rPr>
        <w:t>l’Observatoire  de</w:t>
      </w:r>
      <w:proofErr w:type="gramEnd"/>
      <w:r w:rsidRPr="003E7FE3">
        <w:rPr>
          <w:rFonts w:ascii="Source Sans Pro" w:eastAsia="Times New Roman" w:hAnsi="Source Sans Pro"/>
          <w:lang w:val="fr"/>
        </w:rPr>
        <w:t xml:space="preserve"> la CEDEAO </w:t>
      </w:r>
      <w:r w:rsidRPr="003E7FE3">
        <w:rPr>
          <w:rFonts w:ascii="Source Sans Pro" w:eastAsia="Times New Roman" w:hAnsi="Source Sans Pro"/>
          <w:lang w:val="fr-FR"/>
        </w:rPr>
        <w:t>sur le</w:t>
      </w:r>
      <w:r w:rsidRPr="003E7FE3">
        <w:rPr>
          <w:rFonts w:ascii="Source Sans Pro" w:eastAsia="Times New Roman" w:hAnsi="Source Sans Pro"/>
          <w:lang w:val="fr"/>
        </w:rPr>
        <w:t xml:space="preserve"> riz</w:t>
      </w:r>
      <w:r w:rsidRPr="003E7FE3">
        <w:rPr>
          <w:rFonts w:ascii="Source Sans Pro" w:eastAsia="Times New Roman" w:hAnsi="Source Sans Pro"/>
          <w:lang w:val="fr-FR"/>
        </w:rPr>
        <w:t xml:space="preserve"> </w:t>
      </w:r>
      <w:r w:rsidRPr="003E7FE3">
        <w:rPr>
          <w:rFonts w:ascii="Source Sans Pro" w:eastAsia="Times New Roman" w:hAnsi="Source Sans Pro"/>
          <w:lang w:val="fr"/>
        </w:rPr>
        <w:t xml:space="preserve">(ERO). L’objectif de l’ERO est de créer une synergie et de mieux coordonner les programmes liés au sous-secteur du riz, les investissements publics et privés, et de fournir des contributions à l’harmonisation des politiques pour la prise de décisions clés. Au niveau national, ERO met en place des plateformes rizicoles nationales composées principalement de parties prenantes du secteur privé tout au long de la chaîne de valeur, avec une représentation </w:t>
      </w:r>
      <w:r w:rsidRPr="003E7FE3">
        <w:rPr>
          <w:rFonts w:ascii="Source Sans Pro" w:eastAsia="Times New Roman" w:hAnsi="Source Sans Pro"/>
          <w:lang w:val="fr-FR"/>
        </w:rPr>
        <w:t>additionnelle</w:t>
      </w:r>
      <w:r w:rsidRPr="003E7FE3">
        <w:rPr>
          <w:rFonts w:ascii="Source Sans Pro" w:eastAsia="Times New Roman" w:hAnsi="Source Sans Pro"/>
          <w:lang w:val="fr"/>
        </w:rPr>
        <w:t xml:space="preserve"> de la recherche, du gouvernement et de la société civile pour coordonner les investissements et les politiques spécifiques à chaque pays.</w:t>
      </w:r>
      <w:r w:rsidRPr="003E7FE3">
        <w:rPr>
          <w:rFonts w:ascii="Source Sans Pro" w:eastAsia="Times New Roman" w:hAnsi="Source Sans Pro"/>
          <w:lang w:val="fr-FR"/>
        </w:rPr>
        <w:t xml:space="preserve"> </w:t>
      </w:r>
    </w:p>
    <w:p w14:paraId="758F1498" w14:textId="77777777" w:rsidR="00484AB2" w:rsidRPr="003E7FE3" w:rsidRDefault="00484AB2">
      <w:pPr>
        <w:jc w:val="both"/>
        <w:rPr>
          <w:rFonts w:ascii="Source Sans Pro" w:eastAsia="Times New Roman" w:hAnsi="Source Sans Pro"/>
          <w:lang w:val="fr-FR"/>
        </w:rPr>
      </w:pPr>
    </w:p>
    <w:p w14:paraId="0D160F3F" w14:textId="77777777" w:rsidR="00484AB2" w:rsidRPr="003E7FE3" w:rsidRDefault="00000000">
      <w:pPr>
        <w:pStyle w:val="ListParagraph"/>
        <w:numPr>
          <w:ilvl w:val="0"/>
          <w:numId w:val="2"/>
        </w:numPr>
        <w:jc w:val="both"/>
        <w:rPr>
          <w:rFonts w:ascii="Source Sans Pro" w:eastAsia="Times New Roman" w:hAnsi="Source Sans Pro" w:cstheme="majorBidi"/>
          <w:b/>
          <w:bCs/>
          <w:sz w:val="24"/>
          <w:szCs w:val="24"/>
        </w:rPr>
      </w:pPr>
      <w:proofErr w:type="spellStart"/>
      <w:r w:rsidRPr="003E7FE3">
        <w:rPr>
          <w:rFonts w:ascii="Source Sans Pro" w:eastAsia="Times New Roman" w:hAnsi="Source Sans Pro" w:cstheme="majorBidi"/>
          <w:b/>
          <w:bCs/>
          <w:sz w:val="24"/>
          <w:szCs w:val="24"/>
        </w:rPr>
        <w:t>Contexte</w:t>
      </w:r>
      <w:proofErr w:type="spellEnd"/>
    </w:p>
    <w:p w14:paraId="22539976" w14:textId="77777777" w:rsidR="00484AB2" w:rsidRPr="003E7FE3" w:rsidRDefault="00484AB2">
      <w:pPr>
        <w:pStyle w:val="ListParagraph"/>
        <w:jc w:val="both"/>
        <w:rPr>
          <w:rFonts w:ascii="Source Sans Pro" w:eastAsia="Times New Roman" w:hAnsi="Source Sans Pro" w:cstheme="majorBidi"/>
          <w:b/>
          <w:bCs/>
          <w:sz w:val="16"/>
          <w:szCs w:val="24"/>
        </w:rPr>
      </w:pPr>
    </w:p>
    <w:p w14:paraId="7C3318D5" w14:textId="77777777" w:rsidR="00484AB2" w:rsidRPr="003E7FE3" w:rsidRDefault="00000000">
      <w:pPr>
        <w:jc w:val="both"/>
        <w:rPr>
          <w:rFonts w:ascii="Source Sans Pro" w:hAnsi="Source Sans Pro"/>
          <w:lang w:val="fr-FR"/>
        </w:rPr>
      </w:pPr>
      <w:r w:rsidRPr="003E7FE3">
        <w:rPr>
          <w:rFonts w:ascii="Source Sans Pro" w:hAnsi="Source Sans Pro"/>
          <w:lang w:val="fr"/>
        </w:rPr>
        <w:t xml:space="preserve">Grâce à une enquête en ligne et à un atelier virtuel ultérieur organisé par la Commission de la CEDEAO, sur les principales questions et opportunités spécifiques à chaque pays ainsi que sur les priorités régionales, les parties prenantes du secteur </w:t>
      </w:r>
      <w:r w:rsidRPr="003E7FE3">
        <w:rPr>
          <w:rFonts w:ascii="Source Sans Pro" w:hAnsi="Source Sans Pro"/>
          <w:lang w:val="fr-FR"/>
        </w:rPr>
        <w:t>du riz</w:t>
      </w:r>
      <w:r w:rsidRPr="003E7FE3">
        <w:rPr>
          <w:rFonts w:ascii="Source Sans Pro" w:hAnsi="Source Sans Pro"/>
          <w:lang w:val="fr"/>
        </w:rPr>
        <w:t xml:space="preserve"> des États membres, les acteurs régionaux et internationaux, ont fourni des informations sur les priorités clés pour catalyser le développement du secteur rizicole. Les 3 principales contraintes auxquelles l’industrie rizicole est confrontée dans tous les pays étudiés sont l’accès </w:t>
      </w:r>
      <w:r w:rsidRPr="003E7FE3">
        <w:rPr>
          <w:rFonts w:ascii="Source Sans Pro" w:hAnsi="Source Sans Pro"/>
          <w:b/>
          <w:lang w:val="fr"/>
        </w:rPr>
        <w:t>au financement, la concurrence du riz importé et l’accès à la mécanisation. Malgré</w:t>
      </w:r>
      <w:r w:rsidRPr="003E7FE3">
        <w:rPr>
          <w:rFonts w:ascii="Source Sans Pro" w:hAnsi="Source Sans Pro"/>
          <w:lang w:val="fr"/>
        </w:rPr>
        <w:t xml:space="preserve"> </w:t>
      </w:r>
      <w:proofErr w:type="gramStart"/>
      <w:r w:rsidRPr="003E7FE3">
        <w:rPr>
          <w:rFonts w:ascii="Source Sans Pro" w:hAnsi="Source Sans Pro"/>
          <w:lang w:val="fr"/>
        </w:rPr>
        <w:t>de  nombreux</w:t>
      </w:r>
      <w:proofErr w:type="gramEnd"/>
      <w:r w:rsidRPr="003E7FE3">
        <w:rPr>
          <w:rFonts w:ascii="Source Sans Pro" w:hAnsi="Source Sans Pro"/>
          <w:lang w:val="fr"/>
        </w:rPr>
        <w:t xml:space="preserve"> investissements dans le secteur rizicole à travers l’Afrique de l’Ouest, </w:t>
      </w:r>
      <w:r w:rsidRPr="003E7FE3">
        <w:rPr>
          <w:rFonts w:ascii="Source Sans Pro" w:hAnsi="Source Sans Pro"/>
          <w:lang w:val="fr-FR"/>
        </w:rPr>
        <w:t xml:space="preserve">on observe </w:t>
      </w:r>
      <w:r w:rsidRPr="003E7FE3">
        <w:rPr>
          <w:rFonts w:ascii="Source Sans Pro" w:hAnsi="Source Sans Pro"/>
          <w:lang w:val="fr"/>
        </w:rPr>
        <w:t xml:space="preserve">le manque de coordination et d’allocation efficace en fonction des priorités.  </w:t>
      </w:r>
    </w:p>
    <w:p w14:paraId="4F4CA2D5" w14:textId="77777777" w:rsidR="00484AB2" w:rsidRPr="003E7FE3" w:rsidRDefault="00000000">
      <w:pPr>
        <w:jc w:val="both"/>
        <w:rPr>
          <w:rFonts w:ascii="Source Sans Pro" w:hAnsi="Source Sans Pro"/>
          <w:lang w:val="fr-FR"/>
        </w:rPr>
      </w:pPr>
      <w:r w:rsidRPr="003E7FE3">
        <w:rPr>
          <w:rFonts w:ascii="Source Sans Pro" w:hAnsi="Source Sans Pro"/>
          <w:lang w:val="fr"/>
        </w:rPr>
        <w:t xml:space="preserve">ERO est composé de quatre comités techniques qui fournissent des informations solides et font des recommandations au conseil d’administration en fonction des priorités stratégiques identifiées dans le secteur du riz aux niveaux national et régional, facilitant ainsi des études de recherche spécifiques pour mieux influencer les décisions qui contribuent au développement du secteur riz de la région.  Le comité technique d’ERO sur les finances, la mécanisation et l’alignement des donateurs a donc donné la priorité à l’évaluation des solutions de mécanisation existantes qui sont durables pour les petits producteurs du secteur </w:t>
      </w:r>
      <w:r w:rsidRPr="003E7FE3">
        <w:rPr>
          <w:rFonts w:ascii="Source Sans Pro" w:hAnsi="Source Sans Pro"/>
          <w:lang w:val="fr-FR"/>
        </w:rPr>
        <w:t xml:space="preserve">du </w:t>
      </w:r>
      <w:r w:rsidRPr="003E7FE3">
        <w:rPr>
          <w:rFonts w:ascii="Source Sans Pro" w:hAnsi="Source Sans Pro"/>
          <w:lang w:val="fr"/>
        </w:rPr>
        <w:t>riz.</w:t>
      </w:r>
    </w:p>
    <w:p w14:paraId="4A0F9E2B" w14:textId="77777777" w:rsidR="00484AB2" w:rsidRPr="003E7FE3" w:rsidRDefault="00000000">
      <w:pPr>
        <w:jc w:val="both"/>
        <w:rPr>
          <w:rFonts w:ascii="Source Sans Pro" w:hAnsi="Source Sans Pro"/>
          <w:lang w:val="fr-FR"/>
        </w:rPr>
      </w:pPr>
      <w:r w:rsidRPr="003E7FE3">
        <w:rPr>
          <w:rFonts w:ascii="Source Sans Pro" w:hAnsi="Source Sans Pro"/>
          <w:lang w:val="fr"/>
        </w:rPr>
        <w:t xml:space="preserve">Ces derniers temps, des efforts ont été </w:t>
      </w:r>
      <w:r w:rsidRPr="003E7FE3">
        <w:rPr>
          <w:rFonts w:ascii="Source Sans Pro" w:hAnsi="Source Sans Pro"/>
          <w:lang w:val="fr-FR"/>
        </w:rPr>
        <w:t>fournis</w:t>
      </w:r>
      <w:r w:rsidRPr="003E7FE3">
        <w:rPr>
          <w:rFonts w:ascii="Source Sans Pro" w:hAnsi="Source Sans Pro"/>
          <w:lang w:val="fr"/>
        </w:rPr>
        <w:t xml:space="preserve"> sur les questions de mécanisation de la petite agriculture et la base de connaissances s’est considérablement améliorée.  L’objectif global de cette </w:t>
      </w:r>
      <w:r w:rsidRPr="003E7FE3">
        <w:rPr>
          <w:rFonts w:ascii="Source Sans Pro" w:hAnsi="Source Sans Pro"/>
          <w:lang w:val="fr"/>
        </w:rPr>
        <w:lastRenderedPageBreak/>
        <w:t xml:space="preserve">étude est donc de tirer des leçons et des recommandations spécifiques pour une mécanisation du secteur rizicole agréée dans la région de la CEDEAO. L’étude apportera une réelle valeur ajoutée et ne </w:t>
      </w:r>
      <w:r w:rsidRPr="003E7FE3">
        <w:rPr>
          <w:rFonts w:ascii="Source Sans Pro" w:hAnsi="Source Sans Pro"/>
          <w:lang w:val="fr-FR"/>
        </w:rPr>
        <w:t>dupliquera pas avec</w:t>
      </w:r>
      <w:r w:rsidRPr="003E7FE3">
        <w:rPr>
          <w:rFonts w:ascii="Source Sans Pro" w:hAnsi="Source Sans Pro"/>
          <w:lang w:val="fr"/>
        </w:rPr>
        <w:t xml:space="preserve"> ce qui est déjà connu.</w:t>
      </w:r>
    </w:p>
    <w:p w14:paraId="5433BAD3" w14:textId="77777777" w:rsidR="00484AB2" w:rsidRPr="003E7FE3" w:rsidRDefault="00000000">
      <w:pPr>
        <w:pStyle w:val="ListParagraph"/>
        <w:numPr>
          <w:ilvl w:val="0"/>
          <w:numId w:val="2"/>
        </w:numPr>
        <w:rPr>
          <w:rFonts w:ascii="Source Sans Pro" w:eastAsia="Times New Roman" w:hAnsi="Source Sans Pro" w:cstheme="majorBidi"/>
          <w:b/>
          <w:bCs/>
          <w:sz w:val="24"/>
          <w:szCs w:val="24"/>
        </w:rPr>
      </w:pPr>
      <w:proofErr w:type="spellStart"/>
      <w:r w:rsidRPr="003E7FE3">
        <w:rPr>
          <w:rFonts w:ascii="Source Sans Pro" w:eastAsia="Times New Roman" w:hAnsi="Source Sans Pro" w:cstheme="majorBidi"/>
          <w:b/>
          <w:bCs/>
          <w:sz w:val="24"/>
          <w:szCs w:val="24"/>
        </w:rPr>
        <w:t>Objectifs</w:t>
      </w:r>
      <w:proofErr w:type="spellEnd"/>
    </w:p>
    <w:p w14:paraId="5F931D5F" w14:textId="77777777" w:rsidR="00484AB2" w:rsidRPr="003E7FE3" w:rsidRDefault="00484AB2">
      <w:pPr>
        <w:pStyle w:val="ListParagraph"/>
        <w:rPr>
          <w:rFonts w:ascii="Source Sans Pro" w:eastAsia="Times New Roman" w:hAnsi="Source Sans Pro" w:cstheme="majorBidi"/>
          <w:b/>
          <w:bCs/>
          <w:sz w:val="14"/>
          <w:szCs w:val="24"/>
        </w:rPr>
      </w:pPr>
    </w:p>
    <w:p w14:paraId="29DAB4DB" w14:textId="77777777" w:rsidR="00484AB2" w:rsidRPr="003E7FE3" w:rsidRDefault="00000000">
      <w:pPr>
        <w:spacing w:after="120" w:line="273" w:lineRule="auto"/>
        <w:jc w:val="both"/>
        <w:rPr>
          <w:rFonts w:ascii="Source Sans Pro" w:hAnsi="Source Sans Pro"/>
        </w:rPr>
      </w:pPr>
      <w:r w:rsidRPr="003E7FE3">
        <w:rPr>
          <w:rFonts w:ascii="Source Sans Pro" w:hAnsi="Source Sans Pro"/>
          <w:lang w:val="fr"/>
        </w:rPr>
        <w:t>Cette mission vise à effectuer des recherches documentaires et</w:t>
      </w:r>
      <w:r w:rsidRPr="003E7FE3">
        <w:rPr>
          <w:rFonts w:ascii="Source Sans Pro" w:hAnsi="Source Sans Pro"/>
          <w:lang w:val="fr-FR"/>
        </w:rPr>
        <w:t xml:space="preserve"> des recherches </w:t>
      </w:r>
      <w:r w:rsidRPr="003E7FE3">
        <w:rPr>
          <w:rFonts w:ascii="Source Sans Pro" w:hAnsi="Source Sans Pro"/>
          <w:lang w:val="fr"/>
        </w:rPr>
        <w:t>terrain</w:t>
      </w:r>
      <w:r w:rsidRPr="003E7FE3">
        <w:rPr>
          <w:rFonts w:ascii="Source Sans Pro" w:hAnsi="Source Sans Pro"/>
          <w:lang w:val="fr-FR"/>
        </w:rPr>
        <w:t>s</w:t>
      </w:r>
      <w:r w:rsidRPr="003E7FE3">
        <w:rPr>
          <w:rFonts w:ascii="Source Sans Pro" w:hAnsi="Source Sans Pro"/>
          <w:lang w:val="fr"/>
        </w:rPr>
        <w:t xml:space="preserve"> sur des solutions de mécanisation accessibles pour les acteurs de la filière riz. Les objectifs spécifiques sont les suivants :</w:t>
      </w:r>
    </w:p>
    <w:p w14:paraId="46590C40" w14:textId="77777777" w:rsidR="00484AB2" w:rsidRPr="003E7FE3" w:rsidRDefault="00000000">
      <w:pPr>
        <w:pStyle w:val="ListParagraph"/>
        <w:numPr>
          <w:ilvl w:val="0"/>
          <w:numId w:val="3"/>
        </w:numPr>
        <w:jc w:val="both"/>
        <w:rPr>
          <w:rFonts w:ascii="Source Sans Pro" w:hAnsi="Source Sans Pro" w:cs="Arial"/>
          <w:lang w:val="fr-FR"/>
        </w:rPr>
      </w:pPr>
      <w:r w:rsidRPr="003E7FE3">
        <w:rPr>
          <w:rFonts w:ascii="Source Sans Pro" w:hAnsi="Source Sans Pro"/>
          <w:lang w:val="fr-FR"/>
        </w:rPr>
        <w:t>Faire un état des lieux complet</w:t>
      </w:r>
      <w:r w:rsidRPr="003E7FE3">
        <w:rPr>
          <w:rFonts w:ascii="Source Sans Pro" w:hAnsi="Source Sans Pro"/>
          <w:lang w:val="fr"/>
        </w:rPr>
        <w:t xml:space="preserve"> des équipements de mécanisation existants, à l’échelle internationale, des fabricants et des fournisseurs de services dans la région de la CEDEAO.</w:t>
      </w:r>
    </w:p>
    <w:p w14:paraId="6137D328" w14:textId="77777777" w:rsidR="00484AB2" w:rsidRPr="003E7FE3" w:rsidRDefault="00000000">
      <w:pPr>
        <w:pStyle w:val="ListParagraph"/>
        <w:numPr>
          <w:ilvl w:val="0"/>
          <w:numId w:val="3"/>
        </w:numPr>
        <w:jc w:val="both"/>
        <w:rPr>
          <w:rFonts w:ascii="Source Sans Pro" w:hAnsi="Source Sans Pro" w:cs="Arial"/>
          <w:lang w:val="fr-FR"/>
        </w:rPr>
      </w:pPr>
      <w:r w:rsidRPr="003E7FE3">
        <w:rPr>
          <w:rFonts w:ascii="Source Sans Pro" w:hAnsi="Source Sans Pro"/>
          <w:lang w:val="fr"/>
        </w:rPr>
        <w:t xml:space="preserve">Identifier et recommander des mécanismes de financement de l’équipement, y compris les options commerciales offertes par les pays exportateurs d’équipement. </w:t>
      </w:r>
    </w:p>
    <w:p w14:paraId="35AC928E" w14:textId="77777777" w:rsidR="00484AB2" w:rsidRPr="003E7FE3" w:rsidRDefault="00000000">
      <w:pPr>
        <w:pStyle w:val="ListParagraph"/>
        <w:numPr>
          <w:ilvl w:val="0"/>
          <w:numId w:val="3"/>
        </w:numPr>
        <w:jc w:val="both"/>
        <w:rPr>
          <w:rFonts w:ascii="Source Sans Pro" w:hAnsi="Source Sans Pro" w:cs="Arial"/>
          <w:lang w:val="fr-FR"/>
        </w:rPr>
      </w:pPr>
      <w:r w:rsidRPr="003E7FE3">
        <w:rPr>
          <w:rFonts w:ascii="Source Sans Pro" w:hAnsi="Source Sans Pro"/>
          <w:lang w:val="fr"/>
        </w:rPr>
        <w:t>Identifier et suggérer des modèles d’affaires que les entreprises d’équipement locales (fabricants) peuvent utiliser pour accroître l’accès des petits exploitants agricoles, des associations et des entreprises agroalimentaires à leurs services.</w:t>
      </w:r>
    </w:p>
    <w:p w14:paraId="387F1014" w14:textId="77777777" w:rsidR="00484AB2" w:rsidRPr="003E7FE3" w:rsidRDefault="00000000">
      <w:pPr>
        <w:pStyle w:val="ListParagraph"/>
        <w:numPr>
          <w:ilvl w:val="0"/>
          <w:numId w:val="4"/>
        </w:numPr>
        <w:jc w:val="both"/>
        <w:rPr>
          <w:rFonts w:ascii="Source Sans Pro" w:hAnsi="Source Sans Pro" w:cstheme="minorBidi"/>
        </w:rPr>
      </w:pPr>
      <w:r w:rsidRPr="003E7FE3">
        <w:rPr>
          <w:rFonts w:ascii="Source Sans Pro" w:hAnsi="Source Sans Pro"/>
          <w:lang w:val="fr"/>
        </w:rPr>
        <w:t>Identifier les lacunes dans la technologie, les fournisseurs et la capacité de fabrication locale. Élaborer des options novatrices pour combler ces lacunes.</w:t>
      </w:r>
    </w:p>
    <w:p w14:paraId="7D989578" w14:textId="77777777" w:rsidR="00484AB2" w:rsidRPr="003E7FE3" w:rsidRDefault="00484AB2">
      <w:pPr>
        <w:pStyle w:val="ListParagraph"/>
        <w:jc w:val="both"/>
        <w:rPr>
          <w:rFonts w:ascii="Source Sans Pro" w:eastAsia="Times New Roman" w:hAnsi="Source Sans Pro"/>
        </w:rPr>
      </w:pPr>
    </w:p>
    <w:p w14:paraId="61AB245D" w14:textId="610FE474" w:rsidR="00484AB2" w:rsidRPr="003E7FE3" w:rsidRDefault="00791909">
      <w:pPr>
        <w:pStyle w:val="ListParagraph"/>
        <w:numPr>
          <w:ilvl w:val="0"/>
          <w:numId w:val="2"/>
        </w:numPr>
        <w:rPr>
          <w:rFonts w:ascii="Source Sans Pro" w:eastAsia="Times New Roman" w:hAnsi="Source Sans Pro" w:cstheme="majorBidi"/>
          <w:b/>
          <w:bCs/>
          <w:sz w:val="24"/>
          <w:szCs w:val="24"/>
        </w:rPr>
      </w:pPr>
      <w:r w:rsidRPr="003E7FE3">
        <w:rPr>
          <w:rFonts w:ascii="Source Sans Pro" w:eastAsia="Times New Roman" w:hAnsi="Source Sans Pro" w:cstheme="majorBidi"/>
          <w:b/>
          <w:bCs/>
          <w:sz w:val="24"/>
          <w:szCs w:val="24"/>
        </w:rPr>
        <w:t xml:space="preserve">Etendue des </w:t>
      </w:r>
      <w:proofErr w:type="spellStart"/>
      <w:r w:rsidRPr="003E7FE3">
        <w:rPr>
          <w:rFonts w:ascii="Source Sans Pro" w:eastAsia="Times New Roman" w:hAnsi="Source Sans Pro" w:cstheme="majorBidi"/>
          <w:b/>
          <w:bCs/>
          <w:sz w:val="24"/>
          <w:szCs w:val="24"/>
        </w:rPr>
        <w:t>activités</w:t>
      </w:r>
      <w:proofErr w:type="spellEnd"/>
    </w:p>
    <w:p w14:paraId="7D9EE2B7" w14:textId="77777777" w:rsidR="00484AB2" w:rsidRPr="003E7FE3" w:rsidRDefault="00484AB2">
      <w:pPr>
        <w:pStyle w:val="ListParagraph"/>
        <w:rPr>
          <w:rFonts w:ascii="Source Sans Pro" w:eastAsia="Times New Roman" w:hAnsi="Source Sans Pro" w:cstheme="majorBidi"/>
          <w:b/>
          <w:bCs/>
          <w:sz w:val="14"/>
          <w:szCs w:val="24"/>
        </w:rPr>
      </w:pPr>
    </w:p>
    <w:p w14:paraId="536C8C00" w14:textId="77777777" w:rsidR="00484AB2" w:rsidRPr="003E7FE3" w:rsidRDefault="00000000">
      <w:pPr>
        <w:jc w:val="both"/>
        <w:rPr>
          <w:rFonts w:ascii="Source Sans Pro" w:hAnsi="Source Sans Pro"/>
        </w:rPr>
      </w:pPr>
      <w:proofErr w:type="spellStart"/>
      <w:r w:rsidRPr="003E7FE3">
        <w:rPr>
          <w:rFonts w:ascii="Source Sans Pro" w:hAnsi="Source Sans Pro"/>
          <w:lang w:val="fr"/>
        </w:rPr>
        <w:t>L</w:t>
      </w:r>
      <w:r w:rsidRPr="003E7FE3">
        <w:rPr>
          <w:rFonts w:ascii="Source Sans Pro" w:hAnsi="Source Sans Pro"/>
          <w:lang w:val="fr-FR"/>
        </w:rPr>
        <w:t>e</w:t>
      </w:r>
      <w:proofErr w:type="spellEnd"/>
      <w:r w:rsidRPr="003E7FE3">
        <w:rPr>
          <w:rFonts w:ascii="Source Sans Pro" w:hAnsi="Source Sans Pro"/>
          <w:lang w:val="fr-FR"/>
        </w:rPr>
        <w:t xml:space="preserve"> consultant</w:t>
      </w:r>
      <w:r w:rsidRPr="003E7FE3">
        <w:rPr>
          <w:rFonts w:ascii="Source Sans Pro" w:hAnsi="Source Sans Pro"/>
          <w:lang w:val="fr"/>
        </w:rPr>
        <w:t xml:space="preserve"> doit utiliser la documentation disponible et s’assurer que le travail est effectué par étapes. Les petits producteurs, leur accès aux intrants, aux marchés et à la mécanisation sont autant de priorités. Les services suivants doivent être fournis :</w:t>
      </w:r>
    </w:p>
    <w:p w14:paraId="0643D038" w14:textId="77777777" w:rsidR="00484AB2" w:rsidRPr="003E7FE3" w:rsidRDefault="00000000">
      <w:pPr>
        <w:pStyle w:val="ListParagraph"/>
        <w:numPr>
          <w:ilvl w:val="0"/>
          <w:numId w:val="5"/>
        </w:numPr>
        <w:jc w:val="both"/>
        <w:rPr>
          <w:rFonts w:ascii="Source Sans Pro" w:hAnsi="Source Sans Pro"/>
          <w:lang w:val="fr-FR"/>
        </w:rPr>
      </w:pPr>
      <w:r w:rsidRPr="003E7FE3">
        <w:rPr>
          <w:rFonts w:ascii="Source Sans Pro" w:hAnsi="Source Sans Pro"/>
          <w:lang w:val="fr"/>
        </w:rPr>
        <w:t xml:space="preserve">Identification d’innovations de mécanisation évolutive pour les petits riziculteurs et les petits et moyens transformateurs en Afrique de l’Ouest. De </w:t>
      </w:r>
      <w:r w:rsidRPr="003E7FE3">
        <w:rPr>
          <w:rFonts w:ascii="Source Sans Pro" w:hAnsi="Source Sans Pro"/>
          <w:b/>
          <w:lang w:val="fr"/>
        </w:rPr>
        <w:t xml:space="preserve">la préparation des rizières, du désherbage, de la récolte et de la transformation du paddy. </w:t>
      </w:r>
      <w:r w:rsidRPr="003E7FE3">
        <w:rPr>
          <w:rFonts w:ascii="Source Sans Pro" w:hAnsi="Source Sans Pro"/>
          <w:lang w:val="fr"/>
        </w:rPr>
        <w:t>(À utiliser par les petits producteurs (1-5 hectares) et d’autres acteurs de la chaîne de valeur)</w:t>
      </w:r>
    </w:p>
    <w:p w14:paraId="72979D40" w14:textId="77777777" w:rsidR="00484AB2" w:rsidRPr="003E7FE3" w:rsidRDefault="00000000">
      <w:pPr>
        <w:pStyle w:val="ListParagraph"/>
        <w:numPr>
          <w:ilvl w:val="0"/>
          <w:numId w:val="5"/>
        </w:numPr>
        <w:jc w:val="both"/>
        <w:rPr>
          <w:rFonts w:ascii="Source Sans Pro" w:hAnsi="Source Sans Pro"/>
          <w:lang w:val="fr-FR"/>
        </w:rPr>
      </w:pPr>
      <w:r w:rsidRPr="003E7FE3">
        <w:rPr>
          <w:rFonts w:ascii="Source Sans Pro" w:hAnsi="Source Sans Pro"/>
          <w:lang w:val="fr"/>
        </w:rPr>
        <w:t xml:space="preserve">Créer un catalogue présentant une analyse comparative du marché sur l’équipement identifié, indiquant le prix, la capacité, les exigences, l’expérience </w:t>
      </w:r>
      <w:r w:rsidRPr="003E7FE3">
        <w:rPr>
          <w:rFonts w:ascii="Source Sans Pro" w:hAnsi="Source Sans Pro"/>
          <w:lang w:val="fr-FR"/>
        </w:rPr>
        <w:t>de l’</w:t>
      </w:r>
      <w:r w:rsidRPr="003E7FE3">
        <w:rPr>
          <w:rFonts w:ascii="Source Sans Pro" w:hAnsi="Source Sans Pro"/>
          <w:lang w:val="fr"/>
        </w:rPr>
        <w:t>utilisateur, les services après-vente et d’autres critères pertinents.</w:t>
      </w:r>
    </w:p>
    <w:p w14:paraId="3D78A732" w14:textId="77777777" w:rsidR="00484AB2" w:rsidRPr="003E7FE3" w:rsidRDefault="00000000">
      <w:pPr>
        <w:pStyle w:val="ListParagraph"/>
        <w:numPr>
          <w:ilvl w:val="0"/>
          <w:numId w:val="5"/>
        </w:numPr>
        <w:jc w:val="both"/>
        <w:rPr>
          <w:rFonts w:ascii="Source Sans Pro" w:hAnsi="Source Sans Pro" w:cs="Arial"/>
          <w:lang w:val="fr-FR"/>
        </w:rPr>
      </w:pPr>
      <w:r w:rsidRPr="003E7FE3">
        <w:rPr>
          <w:rFonts w:ascii="Source Sans Pro" w:hAnsi="Source Sans Pro"/>
          <w:lang w:val="fr"/>
        </w:rPr>
        <w:t xml:space="preserve">Mettre en évidence les offres/services, les régions d’exploitation et la disponibilité des services sur le marché par le fournisseur (conditions d’importation, mécanismes de financement pour l’exportation) et les défis économiques actuels. </w:t>
      </w:r>
    </w:p>
    <w:p w14:paraId="58B3083F" w14:textId="77777777" w:rsidR="00484AB2" w:rsidRPr="003E7FE3" w:rsidRDefault="00000000">
      <w:pPr>
        <w:pStyle w:val="ListParagraph"/>
        <w:numPr>
          <w:ilvl w:val="0"/>
          <w:numId w:val="5"/>
        </w:numPr>
        <w:jc w:val="both"/>
        <w:rPr>
          <w:rFonts w:ascii="Source Sans Pro" w:hAnsi="Source Sans Pro" w:cs="Arial"/>
          <w:lang w:val="fr-FR"/>
        </w:rPr>
      </w:pPr>
      <w:r w:rsidRPr="003E7FE3">
        <w:rPr>
          <w:rFonts w:ascii="Source Sans Pro" w:hAnsi="Source Sans Pro"/>
          <w:lang w:val="fr"/>
        </w:rPr>
        <w:t>Documenter les modèles commerciaux durables pour la fourniture de services de mécanisation dans le secteur du riz (mécanisation en tant que service).</w:t>
      </w:r>
    </w:p>
    <w:p w14:paraId="675045FB" w14:textId="77777777" w:rsidR="00484AB2" w:rsidRPr="003E7FE3" w:rsidRDefault="00000000">
      <w:pPr>
        <w:pStyle w:val="ListParagraph"/>
        <w:numPr>
          <w:ilvl w:val="0"/>
          <w:numId w:val="5"/>
        </w:numPr>
        <w:jc w:val="both"/>
        <w:rPr>
          <w:rFonts w:ascii="Source Sans Pro" w:hAnsi="Source Sans Pro" w:cs="Arial"/>
          <w:lang w:val="fr-FR"/>
        </w:rPr>
      </w:pPr>
      <w:r w:rsidRPr="003E7FE3">
        <w:rPr>
          <w:rFonts w:ascii="Source Sans Pro" w:hAnsi="Source Sans Pro"/>
          <w:lang w:val="fr"/>
        </w:rPr>
        <w:t>Identifier des mécanismes de financement appropriés et abordables dans la région de la CEDEAO pour la production et la transformation mécanisées du riz</w:t>
      </w:r>
      <w:r w:rsidRPr="003E7FE3">
        <w:rPr>
          <w:rFonts w:ascii="Source Sans Pro" w:hAnsi="Source Sans Pro"/>
          <w:lang w:val="fr-FR"/>
        </w:rPr>
        <w:t xml:space="preserve"> </w:t>
      </w:r>
      <w:r w:rsidRPr="003E7FE3">
        <w:rPr>
          <w:rFonts w:ascii="Source Sans Pro" w:hAnsi="Source Sans Pro"/>
          <w:lang w:val="fr"/>
        </w:rPr>
        <w:t>(Location, location</w:t>
      </w:r>
      <w:r w:rsidRPr="003E7FE3">
        <w:rPr>
          <w:rFonts w:ascii="Source Sans Pro" w:hAnsi="Source Sans Pro"/>
          <w:lang w:val="fr-FR"/>
        </w:rPr>
        <w:t>-vente</w:t>
      </w:r>
      <w:r w:rsidRPr="003E7FE3">
        <w:rPr>
          <w:rFonts w:ascii="Source Sans Pro" w:hAnsi="Source Sans Pro"/>
          <w:lang w:val="fr"/>
        </w:rPr>
        <w:t xml:space="preserve">, modèles de partage des risques) </w:t>
      </w:r>
    </w:p>
    <w:p w14:paraId="0D999A02" w14:textId="77777777" w:rsidR="00484AB2" w:rsidRPr="003E7FE3" w:rsidRDefault="00000000">
      <w:pPr>
        <w:pStyle w:val="ListParagraph"/>
        <w:numPr>
          <w:ilvl w:val="0"/>
          <w:numId w:val="5"/>
        </w:numPr>
        <w:jc w:val="both"/>
        <w:rPr>
          <w:rFonts w:ascii="Source Sans Pro" w:hAnsi="Source Sans Pro" w:cs="Arial"/>
          <w:lang w:val="fr-FR"/>
        </w:rPr>
      </w:pPr>
      <w:r w:rsidRPr="003E7FE3">
        <w:rPr>
          <w:rFonts w:ascii="Source Sans Pro" w:hAnsi="Source Sans Pro"/>
          <w:lang w:val="fr"/>
        </w:rPr>
        <w:t>Développer une note conceptuelle d’investissement qui vise à améliorer la disponibilité et le financement de solutions mécanisées pour le secteur du riz à tous les niveaux de la chaîne de valeur.</w:t>
      </w:r>
    </w:p>
    <w:p w14:paraId="58B600D0" w14:textId="77777777" w:rsidR="00484AB2" w:rsidRPr="003E7FE3" w:rsidRDefault="00484AB2">
      <w:pPr>
        <w:pStyle w:val="ListParagraph"/>
        <w:jc w:val="both"/>
        <w:rPr>
          <w:rFonts w:ascii="Source Sans Pro" w:eastAsia="Times New Roman" w:hAnsi="Source Sans Pro"/>
          <w:sz w:val="16"/>
          <w:lang w:val="fr-FR"/>
        </w:rPr>
      </w:pPr>
    </w:p>
    <w:p w14:paraId="594A0D58" w14:textId="03B188D4" w:rsidR="00484AB2" w:rsidRPr="003E7FE3" w:rsidRDefault="00000000">
      <w:pPr>
        <w:pStyle w:val="ListParagraph"/>
        <w:numPr>
          <w:ilvl w:val="0"/>
          <w:numId w:val="2"/>
        </w:numPr>
        <w:rPr>
          <w:rFonts w:ascii="Source Sans Pro" w:eastAsia="Times New Roman" w:hAnsi="Source Sans Pro" w:cstheme="majorBidi"/>
          <w:b/>
          <w:bCs/>
          <w:sz w:val="24"/>
          <w:szCs w:val="24"/>
        </w:rPr>
      </w:pPr>
      <w:proofErr w:type="spellStart"/>
      <w:r w:rsidRPr="003E7FE3">
        <w:rPr>
          <w:rFonts w:ascii="Source Sans Pro" w:eastAsia="Times New Roman" w:hAnsi="Source Sans Pro" w:cstheme="majorBidi"/>
          <w:b/>
          <w:bCs/>
          <w:sz w:val="24"/>
          <w:szCs w:val="24"/>
        </w:rPr>
        <w:t>Methodologie</w:t>
      </w:r>
      <w:proofErr w:type="spellEnd"/>
    </w:p>
    <w:p w14:paraId="08EEC463" w14:textId="77777777" w:rsidR="00484AB2" w:rsidRPr="003E7FE3" w:rsidRDefault="00484AB2">
      <w:pPr>
        <w:ind w:left="360"/>
        <w:rPr>
          <w:rFonts w:ascii="Source Sans Pro" w:eastAsia="Times New Roman" w:hAnsi="Source Sans Pro" w:cstheme="majorBidi"/>
          <w:b/>
          <w:bCs/>
          <w:sz w:val="8"/>
          <w:szCs w:val="24"/>
        </w:rPr>
      </w:pPr>
    </w:p>
    <w:p w14:paraId="4AF0AE28" w14:textId="77777777" w:rsidR="00484AB2" w:rsidRPr="003E7FE3" w:rsidRDefault="00000000">
      <w:pPr>
        <w:rPr>
          <w:rFonts w:ascii="Source Sans Pro" w:hAnsi="Source Sans Pro" w:cs="Calibri"/>
          <w:lang w:val="fr-FR"/>
        </w:rPr>
      </w:pPr>
      <w:r w:rsidRPr="003E7FE3">
        <w:rPr>
          <w:rFonts w:ascii="Source Sans Pro" w:hAnsi="Source Sans Pro"/>
          <w:lang w:val="fr"/>
        </w:rPr>
        <w:t>Le plan d</w:t>
      </w:r>
      <w:r w:rsidRPr="003E7FE3">
        <w:rPr>
          <w:rFonts w:ascii="Source Sans Pro" w:hAnsi="Source Sans Pro"/>
          <w:lang w:val="fr-FR"/>
        </w:rPr>
        <w:t>e l’</w:t>
      </w:r>
      <w:r w:rsidRPr="003E7FE3">
        <w:rPr>
          <w:rFonts w:ascii="Source Sans Pro" w:hAnsi="Source Sans Pro"/>
          <w:lang w:val="fr"/>
        </w:rPr>
        <w:t>é</w:t>
      </w:r>
      <w:proofErr w:type="spellStart"/>
      <w:r w:rsidRPr="003E7FE3">
        <w:rPr>
          <w:rFonts w:ascii="Source Sans Pro" w:hAnsi="Source Sans Pro"/>
          <w:lang w:val="fr-FR"/>
        </w:rPr>
        <w:t>tude</w:t>
      </w:r>
      <w:proofErr w:type="spellEnd"/>
      <w:r w:rsidRPr="003E7FE3">
        <w:rPr>
          <w:rFonts w:ascii="Source Sans Pro" w:hAnsi="Source Sans Pro"/>
          <w:lang w:val="fr-FR"/>
        </w:rPr>
        <w:t xml:space="preserve"> s’articulera comme</w:t>
      </w:r>
      <w:r w:rsidRPr="003E7FE3">
        <w:rPr>
          <w:rFonts w:ascii="Source Sans Pro" w:hAnsi="Source Sans Pro"/>
          <w:lang w:val="fr"/>
        </w:rPr>
        <w:t xml:space="preserve"> suit :</w:t>
      </w:r>
    </w:p>
    <w:p w14:paraId="0E56041C" w14:textId="77777777" w:rsidR="00484AB2" w:rsidRPr="003E7FE3" w:rsidRDefault="00000000">
      <w:pPr>
        <w:jc w:val="both"/>
        <w:rPr>
          <w:rFonts w:ascii="Source Sans Pro" w:hAnsi="Source Sans Pro" w:cs="Calibri"/>
          <w:lang w:val="fr-FR"/>
        </w:rPr>
      </w:pPr>
      <w:r w:rsidRPr="003E7FE3">
        <w:rPr>
          <w:rFonts w:ascii="Source Sans Pro" w:hAnsi="Source Sans Pro"/>
          <w:lang w:val="fr"/>
        </w:rPr>
        <w:lastRenderedPageBreak/>
        <w:t>Stratégie : Le soumissionnaire est tenu d’examiner les tâches à accomplir par rapport aux objectifs des services mis en concurrence. Ensuite, le soumissionnaire présente et justifie la stratégie avec laquelle il entend fournir les services dont il est responsable.</w:t>
      </w:r>
    </w:p>
    <w:p w14:paraId="14E855E7" w14:textId="77777777" w:rsidR="00484AB2" w:rsidRPr="003E7FE3" w:rsidRDefault="00000000">
      <w:pPr>
        <w:jc w:val="both"/>
        <w:rPr>
          <w:rFonts w:ascii="Source Sans Pro" w:hAnsi="Source Sans Pro" w:cs="Calibri"/>
          <w:lang w:val="fr-FR"/>
        </w:rPr>
      </w:pPr>
      <w:r w:rsidRPr="003E7FE3">
        <w:rPr>
          <w:rFonts w:ascii="Source Sans Pro" w:hAnsi="Source Sans Pro"/>
          <w:lang w:val="fr"/>
        </w:rPr>
        <w:t xml:space="preserve">Le plan </w:t>
      </w:r>
      <w:proofErr w:type="spellStart"/>
      <w:r w:rsidRPr="003E7FE3">
        <w:rPr>
          <w:rFonts w:ascii="Source Sans Pro" w:hAnsi="Source Sans Pro"/>
          <w:lang w:val="fr"/>
        </w:rPr>
        <w:t>d</w:t>
      </w:r>
      <w:r w:rsidRPr="003E7FE3">
        <w:rPr>
          <w:rFonts w:ascii="Source Sans Pro" w:hAnsi="Source Sans Pro"/>
          <w:lang w:val="fr-FR"/>
        </w:rPr>
        <w:t>e</w:t>
      </w:r>
      <w:proofErr w:type="spellEnd"/>
      <w:r w:rsidRPr="003E7FE3">
        <w:rPr>
          <w:rFonts w:ascii="Source Sans Pro" w:hAnsi="Source Sans Pro"/>
          <w:lang w:val="fr-FR"/>
        </w:rPr>
        <w:t xml:space="preserve"> travail</w:t>
      </w:r>
      <w:r w:rsidRPr="003E7FE3">
        <w:rPr>
          <w:rFonts w:ascii="Source Sans Pro" w:hAnsi="Source Sans Pro"/>
          <w:lang w:val="fr"/>
        </w:rPr>
        <w:t xml:space="preserve"> doit être élaboré en tenant compte des termes de référence qui reconnaissent l’ensemble croissant de connaissances sur la mécanisation des petits exploitants en Afrique. La méthodologie adoptée devrait mettre à jour les défis préliminaires décrits dans le cadre de référence en précisant les problèmes, les questions, les méthodes de collecte et d’analyse des données qui seront entreprises qui seront examinés. Il devrait également permettre une large consultation de tous les partenaires et parties prenantes intéressés.</w:t>
      </w:r>
    </w:p>
    <w:p w14:paraId="30344D72" w14:textId="77777777" w:rsidR="00484AB2" w:rsidRPr="003E7FE3" w:rsidRDefault="00000000">
      <w:pPr>
        <w:rPr>
          <w:rFonts w:ascii="Source Sans Pro" w:hAnsi="Source Sans Pro" w:cs="Calibri"/>
          <w:lang w:val="fr-FR"/>
        </w:rPr>
      </w:pPr>
      <w:r w:rsidRPr="003E7FE3">
        <w:rPr>
          <w:rFonts w:ascii="Source Sans Pro" w:hAnsi="Source Sans Pro"/>
          <w:lang w:val="fr"/>
        </w:rPr>
        <w:t xml:space="preserve">Le plan </w:t>
      </w:r>
      <w:proofErr w:type="spellStart"/>
      <w:r w:rsidRPr="003E7FE3">
        <w:rPr>
          <w:rFonts w:ascii="Source Sans Pro" w:hAnsi="Source Sans Pro"/>
          <w:lang w:val="fr"/>
        </w:rPr>
        <w:t>d</w:t>
      </w:r>
      <w:r w:rsidRPr="003E7FE3">
        <w:rPr>
          <w:rFonts w:ascii="Source Sans Pro" w:hAnsi="Source Sans Pro"/>
          <w:lang w:val="fr-FR"/>
        </w:rPr>
        <w:t>e</w:t>
      </w:r>
      <w:proofErr w:type="spellEnd"/>
      <w:r w:rsidRPr="003E7FE3">
        <w:rPr>
          <w:rFonts w:ascii="Source Sans Pro" w:hAnsi="Source Sans Pro"/>
          <w:lang w:val="fr-FR"/>
        </w:rPr>
        <w:t xml:space="preserve"> travail</w:t>
      </w:r>
      <w:r w:rsidRPr="003E7FE3">
        <w:rPr>
          <w:rFonts w:ascii="Source Sans Pro" w:hAnsi="Source Sans Pro"/>
          <w:lang w:val="fr"/>
        </w:rPr>
        <w:t xml:space="preserve"> devrait comprendre : </w:t>
      </w:r>
    </w:p>
    <w:p w14:paraId="618BCFAD" w14:textId="77777777" w:rsidR="00484AB2" w:rsidRPr="003E7FE3" w:rsidRDefault="00000000">
      <w:pPr>
        <w:rPr>
          <w:rFonts w:ascii="Source Sans Pro" w:hAnsi="Source Sans Pro" w:cs="Calibri"/>
          <w:lang w:val="fr-FR"/>
        </w:rPr>
      </w:pPr>
      <w:r w:rsidRPr="003E7FE3">
        <w:rPr>
          <w:rFonts w:ascii="Source Sans Pro" w:hAnsi="Source Sans Pro"/>
          <w:lang w:val="fr"/>
        </w:rPr>
        <w:t>a)</w:t>
      </w:r>
      <w:r w:rsidRPr="003E7FE3">
        <w:rPr>
          <w:rFonts w:ascii="Source Sans Pro" w:hAnsi="Source Sans Pro"/>
          <w:lang w:val="fr"/>
        </w:rPr>
        <w:tab/>
        <w:t>Un examen documentaire de toute la documentation pertinente, y compris (mais sans s’y limiter) :</w:t>
      </w:r>
    </w:p>
    <w:p w14:paraId="4BAB01B4" w14:textId="77777777" w:rsidR="00484AB2" w:rsidRPr="003E7FE3" w:rsidRDefault="00000000">
      <w:pPr>
        <w:pStyle w:val="ListParagraph"/>
        <w:numPr>
          <w:ilvl w:val="0"/>
          <w:numId w:val="6"/>
        </w:numPr>
        <w:spacing w:line="273" w:lineRule="auto"/>
        <w:rPr>
          <w:rFonts w:ascii="Source Sans Pro" w:hAnsi="Source Sans Pro"/>
          <w:lang w:val="fr-FR"/>
        </w:rPr>
      </w:pPr>
      <w:r w:rsidRPr="003E7FE3">
        <w:rPr>
          <w:rFonts w:ascii="Source Sans Pro" w:hAnsi="Source Sans Pro"/>
          <w:lang w:val="fr"/>
        </w:rPr>
        <w:t xml:space="preserve">À propos </w:t>
      </w:r>
      <w:proofErr w:type="spellStart"/>
      <w:r w:rsidRPr="003E7FE3">
        <w:rPr>
          <w:rFonts w:ascii="Source Sans Pro" w:hAnsi="Source Sans Pro"/>
          <w:lang w:val="fr"/>
        </w:rPr>
        <w:t>d</w:t>
      </w:r>
      <w:r w:rsidRPr="003E7FE3">
        <w:rPr>
          <w:rFonts w:ascii="Source Sans Pro" w:hAnsi="Source Sans Pro"/>
          <w:lang w:val="fr-FR"/>
        </w:rPr>
        <w:t>e</w:t>
      </w:r>
      <w:proofErr w:type="spellEnd"/>
      <w:r w:rsidRPr="003E7FE3">
        <w:rPr>
          <w:rFonts w:ascii="Source Sans Pro" w:hAnsi="Source Sans Pro"/>
          <w:lang w:val="fr-FR"/>
        </w:rPr>
        <w:t xml:space="preserve"> tous les</w:t>
      </w:r>
      <w:r w:rsidRPr="003E7FE3">
        <w:rPr>
          <w:rFonts w:ascii="Source Sans Pro" w:hAnsi="Source Sans Pro"/>
          <w:lang w:val="fr"/>
        </w:rPr>
        <w:t xml:space="preserve"> </w:t>
      </w:r>
      <w:proofErr w:type="spellStart"/>
      <w:r w:rsidRPr="003E7FE3">
        <w:rPr>
          <w:rFonts w:ascii="Source Sans Pro" w:hAnsi="Source Sans Pro"/>
          <w:lang w:val="fr"/>
        </w:rPr>
        <w:t>document</w:t>
      </w:r>
      <w:r w:rsidRPr="003E7FE3">
        <w:rPr>
          <w:rFonts w:ascii="Source Sans Pro" w:hAnsi="Source Sans Pro"/>
          <w:lang w:val="fr-FR"/>
        </w:rPr>
        <w:t>s</w:t>
      </w:r>
      <w:proofErr w:type="spellEnd"/>
      <w:r w:rsidRPr="003E7FE3">
        <w:rPr>
          <w:rFonts w:ascii="Source Sans Pro" w:hAnsi="Source Sans Pro"/>
          <w:lang w:val="fr-FR"/>
        </w:rPr>
        <w:t xml:space="preserve"> </w:t>
      </w:r>
      <w:proofErr w:type="gramStart"/>
      <w:r w:rsidRPr="003E7FE3">
        <w:rPr>
          <w:rFonts w:ascii="Source Sans Pro" w:hAnsi="Source Sans Pro"/>
          <w:lang w:val="fr-FR"/>
        </w:rPr>
        <w:t>d’</w:t>
      </w:r>
      <w:r w:rsidRPr="003E7FE3">
        <w:rPr>
          <w:rFonts w:ascii="Source Sans Pro" w:hAnsi="Source Sans Pro"/>
          <w:lang w:val="fr"/>
        </w:rPr>
        <w:t xml:space="preserve"> ERO</w:t>
      </w:r>
      <w:proofErr w:type="gramEnd"/>
      <w:r w:rsidRPr="003E7FE3">
        <w:rPr>
          <w:rFonts w:ascii="Source Sans Pro" w:hAnsi="Source Sans Pro"/>
          <w:lang w:val="fr"/>
        </w:rPr>
        <w:t>.</w:t>
      </w:r>
    </w:p>
    <w:p w14:paraId="7A6D38C5" w14:textId="77777777" w:rsidR="00484AB2" w:rsidRPr="003E7FE3" w:rsidRDefault="00000000">
      <w:pPr>
        <w:pStyle w:val="ListParagraph"/>
        <w:numPr>
          <w:ilvl w:val="0"/>
          <w:numId w:val="6"/>
        </w:numPr>
        <w:spacing w:line="273" w:lineRule="auto"/>
        <w:rPr>
          <w:rFonts w:ascii="Source Sans Pro" w:hAnsi="Source Sans Pro"/>
        </w:rPr>
      </w:pPr>
      <w:r w:rsidRPr="003E7FE3">
        <w:rPr>
          <w:rFonts w:ascii="Source Sans Pro" w:hAnsi="Source Sans Pro"/>
          <w:lang w:val="fr"/>
        </w:rPr>
        <w:t>Étude de cas.</w:t>
      </w:r>
    </w:p>
    <w:p w14:paraId="4B27CA5D" w14:textId="77777777" w:rsidR="00484AB2" w:rsidRPr="003E7FE3" w:rsidRDefault="00000000">
      <w:pPr>
        <w:pStyle w:val="ListParagraph"/>
        <w:numPr>
          <w:ilvl w:val="0"/>
          <w:numId w:val="6"/>
        </w:numPr>
        <w:spacing w:line="273" w:lineRule="auto"/>
        <w:rPr>
          <w:rFonts w:ascii="Source Sans Pro" w:hAnsi="Source Sans Pro"/>
        </w:rPr>
      </w:pPr>
      <w:r w:rsidRPr="003E7FE3">
        <w:rPr>
          <w:rFonts w:ascii="Source Sans Pro" w:hAnsi="Source Sans Pro"/>
          <w:lang w:val="fr"/>
        </w:rPr>
        <w:t>Rapports techniques</w:t>
      </w:r>
    </w:p>
    <w:p w14:paraId="508B21BC" w14:textId="77777777" w:rsidR="00484AB2" w:rsidRPr="003E7FE3" w:rsidRDefault="00000000">
      <w:pPr>
        <w:rPr>
          <w:rFonts w:ascii="Source Sans Pro" w:hAnsi="Source Sans Pro" w:cs="Calibri"/>
          <w:lang w:val="fr-FR"/>
        </w:rPr>
      </w:pPr>
      <w:r w:rsidRPr="003E7FE3">
        <w:rPr>
          <w:rFonts w:ascii="Source Sans Pro" w:hAnsi="Source Sans Pro"/>
          <w:lang w:val="fr"/>
        </w:rPr>
        <w:t>b)</w:t>
      </w:r>
      <w:r w:rsidRPr="003E7FE3">
        <w:rPr>
          <w:rFonts w:ascii="Source Sans Pro" w:hAnsi="Source Sans Pro"/>
          <w:lang w:val="fr"/>
        </w:rPr>
        <w:tab/>
        <w:t>Les entretiens et les discussions avec les acteurs de la chaîne de valeur, les prestataires de services et les décideurs des principales parties prenantes du riz impliquées dans le projet doivent être menés de manière participative. Une liste des principaux partenaires et intervenants devrait être établie.</w:t>
      </w:r>
    </w:p>
    <w:p w14:paraId="0499FBDF" w14:textId="77777777" w:rsidR="00484AB2" w:rsidRPr="003E7FE3" w:rsidRDefault="00000000">
      <w:pPr>
        <w:rPr>
          <w:rFonts w:ascii="Source Sans Pro" w:eastAsia="Times New Roman" w:hAnsi="Source Sans Pro" w:cs="Calibri"/>
          <w:lang w:val="fr-FR"/>
        </w:rPr>
      </w:pPr>
      <w:r w:rsidRPr="003E7FE3">
        <w:rPr>
          <w:rFonts w:ascii="Source Sans Pro" w:hAnsi="Source Sans Pro"/>
          <w:lang w:val="fr"/>
        </w:rPr>
        <w:t>c)</w:t>
      </w:r>
      <w:r w:rsidRPr="003E7FE3">
        <w:rPr>
          <w:rFonts w:ascii="Source Sans Pro" w:hAnsi="Source Sans Pro"/>
          <w:lang w:val="fr"/>
        </w:rPr>
        <w:tab/>
      </w:r>
      <w:r w:rsidRPr="003E7FE3">
        <w:rPr>
          <w:rFonts w:ascii="Source Sans Pro" w:hAnsi="Source Sans Pro"/>
          <w:lang w:val="fr-FR"/>
        </w:rPr>
        <w:t>interviews</w:t>
      </w:r>
      <w:r w:rsidRPr="003E7FE3">
        <w:rPr>
          <w:rFonts w:ascii="Source Sans Pro" w:hAnsi="Source Sans Pro"/>
          <w:lang w:val="fr"/>
        </w:rPr>
        <w:t xml:space="preserve"> </w:t>
      </w:r>
      <w:r w:rsidRPr="003E7FE3">
        <w:rPr>
          <w:rFonts w:ascii="Source Sans Pro" w:hAnsi="Source Sans Pro"/>
          <w:lang w:val="fr-FR"/>
        </w:rPr>
        <w:t>en ligne</w:t>
      </w:r>
      <w:r w:rsidRPr="003E7FE3">
        <w:rPr>
          <w:rFonts w:ascii="Source Sans Pro" w:hAnsi="Source Sans Pro"/>
          <w:lang w:val="fr"/>
        </w:rPr>
        <w:t xml:space="preserve"> par téléconférence ou commentaires écrits, p. ex. </w:t>
      </w:r>
      <w:proofErr w:type="gramStart"/>
      <w:r w:rsidRPr="003E7FE3">
        <w:rPr>
          <w:rFonts w:ascii="Source Sans Pro" w:hAnsi="Source Sans Pro"/>
          <w:lang w:val="fr"/>
        </w:rPr>
        <w:t>courriel;</w:t>
      </w:r>
      <w:proofErr w:type="gramEnd"/>
      <w:r w:rsidRPr="003E7FE3">
        <w:rPr>
          <w:rFonts w:ascii="Source Sans Pro" w:hAnsi="Source Sans Pro"/>
          <w:lang w:val="fr"/>
        </w:rPr>
        <w:t xml:space="preserve"> lorsque les partenaires ne </w:t>
      </w:r>
      <w:r w:rsidRPr="003E7FE3">
        <w:rPr>
          <w:rFonts w:ascii="Source Sans Pro" w:hAnsi="Source Sans Pro"/>
          <w:lang w:val="fr-FR"/>
        </w:rPr>
        <w:t>sont pas joignables</w:t>
      </w:r>
      <w:r w:rsidRPr="003E7FE3">
        <w:rPr>
          <w:rFonts w:ascii="Source Sans Pro" w:hAnsi="Source Sans Pro"/>
          <w:lang w:val="fr"/>
        </w:rPr>
        <w:t>.</w:t>
      </w:r>
    </w:p>
    <w:p w14:paraId="226053EF" w14:textId="77777777" w:rsidR="00484AB2" w:rsidRPr="003E7FE3" w:rsidRDefault="00000000">
      <w:pPr>
        <w:pStyle w:val="ListParagraph"/>
        <w:numPr>
          <w:ilvl w:val="0"/>
          <w:numId w:val="2"/>
        </w:numPr>
        <w:rPr>
          <w:rFonts w:ascii="Source Sans Pro" w:eastAsia="Times New Roman" w:hAnsi="Source Sans Pro" w:cstheme="majorBidi"/>
          <w:b/>
          <w:bCs/>
          <w:sz w:val="24"/>
          <w:szCs w:val="24"/>
        </w:rPr>
      </w:pPr>
      <w:r w:rsidRPr="003E7FE3">
        <w:rPr>
          <w:rFonts w:ascii="Source Sans Pro" w:hAnsi="Source Sans Pro"/>
          <w:b/>
          <w:bCs/>
          <w:sz w:val="24"/>
          <w:szCs w:val="24"/>
          <w:lang w:val="fr"/>
        </w:rPr>
        <w:t>Calendrier, rapports et communication</w:t>
      </w:r>
    </w:p>
    <w:p w14:paraId="6480BAF5" w14:textId="77777777" w:rsidR="00484AB2" w:rsidRPr="003E7FE3" w:rsidRDefault="00484AB2">
      <w:pPr>
        <w:pStyle w:val="ListParagraph"/>
        <w:rPr>
          <w:rFonts w:ascii="Source Sans Pro" w:eastAsia="Times New Roman" w:hAnsi="Source Sans Pro"/>
          <w:sz w:val="16"/>
        </w:rPr>
      </w:pPr>
    </w:p>
    <w:p w14:paraId="5D3E5957" w14:textId="40E680D5" w:rsidR="00791909" w:rsidRPr="003E7FE3" w:rsidRDefault="00791909" w:rsidP="00791909">
      <w:pPr>
        <w:rPr>
          <w:rFonts w:ascii="Source Sans Pro" w:hAnsi="Source Sans Pro"/>
          <w:lang w:val="fr"/>
        </w:rPr>
      </w:pPr>
      <w:r w:rsidRPr="003E7FE3">
        <w:rPr>
          <w:rFonts w:ascii="Source Sans Pro" w:hAnsi="Source Sans Pro"/>
          <w:lang w:val="fr-FR"/>
        </w:rPr>
        <w:t>Compte tenu de la portée de l'élaboration du plan de travail, on estime à quarante (40) jours ouvrables la durée de cette mission.</w:t>
      </w:r>
    </w:p>
    <w:p w14:paraId="1442587C" w14:textId="77777777" w:rsidR="00484AB2" w:rsidRPr="003E7FE3" w:rsidRDefault="00000000">
      <w:pPr>
        <w:rPr>
          <w:rFonts w:ascii="Source Sans Pro" w:hAnsi="Source Sans Pro" w:cs="Calibri"/>
          <w:lang w:val="fr-FR"/>
        </w:rPr>
      </w:pPr>
      <w:r w:rsidRPr="003E7FE3">
        <w:rPr>
          <w:rFonts w:ascii="Source Sans Pro" w:hAnsi="Source Sans Pro"/>
          <w:lang w:val="fr"/>
        </w:rPr>
        <w:t>Le calendrier (couvrira les aspects suivants, mais ne sera pas limité à</w:t>
      </w:r>
      <w:proofErr w:type="gramStart"/>
      <w:r w:rsidRPr="003E7FE3">
        <w:rPr>
          <w:rFonts w:ascii="Source Sans Pro" w:hAnsi="Source Sans Pro"/>
          <w:lang w:val="fr"/>
        </w:rPr>
        <w:t>):</w:t>
      </w:r>
      <w:proofErr w:type="gramEnd"/>
    </w:p>
    <w:tbl>
      <w:tblPr>
        <w:tblStyle w:val="LightList-Accent6"/>
        <w:tblW w:w="9084" w:type="dxa"/>
        <w:tbl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insideH w:val="single" w:sz="8" w:space="0" w:color="AEAAAA" w:themeColor="background2" w:themeShade="BF"/>
          <w:insideV w:val="single" w:sz="8" w:space="0" w:color="AEAAAA" w:themeColor="background2" w:themeShade="BF"/>
        </w:tblBorders>
        <w:shd w:val="clear" w:color="auto" w:fill="FFFFFF" w:themeFill="background1"/>
        <w:tblLayout w:type="fixed"/>
        <w:tblLook w:val="04A0" w:firstRow="1" w:lastRow="0" w:firstColumn="1" w:lastColumn="0" w:noHBand="0" w:noVBand="1"/>
      </w:tblPr>
      <w:tblGrid>
        <w:gridCol w:w="699"/>
        <w:gridCol w:w="6429"/>
        <w:gridCol w:w="1956"/>
      </w:tblGrid>
      <w:tr w:rsidR="003E7FE3" w:rsidRPr="003E7FE3" w14:paraId="5E84330C" w14:textId="77777777" w:rsidTr="00791909">
        <w:trPr>
          <w:cnfStyle w:val="100000000000" w:firstRow="1" w:lastRow="0" w:firstColumn="0" w:lastColumn="0" w:oddVBand="0" w:evenVBand="0" w:oddHBand="0"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699" w:type="dxa"/>
            <w:shd w:val="clear" w:color="auto" w:fill="FFFFFF" w:themeFill="background1"/>
          </w:tcPr>
          <w:p w14:paraId="5049367B" w14:textId="77777777" w:rsidR="00484AB2" w:rsidRPr="003E7FE3" w:rsidRDefault="00000000" w:rsidP="00791909">
            <w:pPr>
              <w:pStyle w:val="Default"/>
              <w:rPr>
                <w:rFonts w:ascii="Source Sans Pro" w:eastAsia="Times New Roman" w:hAnsi="Source Sans Pro" w:cs="Calibri"/>
                <w:bCs w:val="0"/>
                <w:color w:val="auto"/>
                <w:sz w:val="22"/>
                <w:szCs w:val="22"/>
              </w:rPr>
            </w:pPr>
            <w:r w:rsidRPr="003E7FE3">
              <w:rPr>
                <w:rFonts w:ascii="Source Sans Pro" w:hAnsi="Source Sans Pro"/>
                <w:bCs w:val="0"/>
                <w:color w:val="auto"/>
                <w:sz w:val="22"/>
                <w:szCs w:val="22"/>
                <w:lang w:val="fr"/>
              </w:rPr>
              <w:t xml:space="preserve">Non. </w:t>
            </w:r>
          </w:p>
        </w:tc>
        <w:tc>
          <w:tcPr>
            <w:tcW w:w="6429" w:type="dxa"/>
            <w:shd w:val="clear" w:color="auto" w:fill="FFFFFF" w:themeFill="background1"/>
          </w:tcPr>
          <w:p w14:paraId="23BBF7AF" w14:textId="77777777" w:rsidR="00484AB2" w:rsidRPr="003E7FE3" w:rsidRDefault="00000000" w:rsidP="00791909">
            <w:pPr>
              <w:pStyle w:val="Default"/>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Calibri"/>
                <w:bCs w:val="0"/>
                <w:color w:val="auto"/>
                <w:sz w:val="22"/>
                <w:szCs w:val="22"/>
              </w:rPr>
            </w:pPr>
            <w:r w:rsidRPr="003E7FE3">
              <w:rPr>
                <w:rFonts w:ascii="Source Sans Pro" w:hAnsi="Source Sans Pro"/>
                <w:bCs w:val="0"/>
                <w:color w:val="auto"/>
                <w:sz w:val="22"/>
                <w:szCs w:val="22"/>
                <w:lang w:val="fr"/>
              </w:rPr>
              <w:t xml:space="preserve">Description </w:t>
            </w:r>
          </w:p>
        </w:tc>
        <w:tc>
          <w:tcPr>
            <w:tcW w:w="1956" w:type="dxa"/>
            <w:shd w:val="clear" w:color="auto" w:fill="FFFFFF" w:themeFill="background1"/>
          </w:tcPr>
          <w:p w14:paraId="7D19B6BC" w14:textId="77777777" w:rsidR="00484AB2" w:rsidRPr="003E7FE3" w:rsidRDefault="00000000" w:rsidP="00791909">
            <w:pPr>
              <w:pStyle w:val="Default"/>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Calibri"/>
                <w:bCs w:val="0"/>
                <w:color w:val="auto"/>
                <w:sz w:val="22"/>
                <w:szCs w:val="22"/>
              </w:rPr>
            </w:pPr>
            <w:r w:rsidRPr="003E7FE3">
              <w:rPr>
                <w:rFonts w:ascii="Source Sans Pro" w:hAnsi="Source Sans Pro"/>
                <w:bCs w:val="0"/>
                <w:color w:val="auto"/>
                <w:sz w:val="22"/>
                <w:szCs w:val="22"/>
                <w:lang w:val="fr"/>
              </w:rPr>
              <w:t xml:space="preserve">Nombre de jours </w:t>
            </w:r>
          </w:p>
        </w:tc>
      </w:tr>
      <w:tr w:rsidR="003E7FE3" w:rsidRPr="003E7FE3" w14:paraId="003FEF30" w14:textId="77777777" w:rsidTr="00791909">
        <w:trPr>
          <w:trHeight w:val="110"/>
        </w:trPr>
        <w:tc>
          <w:tcPr>
            <w:cnfStyle w:val="001000000000" w:firstRow="0" w:lastRow="0" w:firstColumn="1" w:lastColumn="0" w:oddVBand="0" w:evenVBand="0" w:oddHBand="0" w:evenHBand="0" w:firstRowFirstColumn="0" w:firstRowLastColumn="0" w:lastRowFirstColumn="0" w:lastRowLastColumn="0"/>
            <w:tcW w:w="699" w:type="dxa"/>
            <w:shd w:val="clear" w:color="auto" w:fill="FFFFFF" w:themeFill="background1"/>
          </w:tcPr>
          <w:p w14:paraId="10A72ACE" w14:textId="77777777" w:rsidR="00484AB2" w:rsidRPr="003E7FE3" w:rsidRDefault="00000000" w:rsidP="00791909">
            <w:pPr>
              <w:pStyle w:val="Default"/>
              <w:rPr>
                <w:rFonts w:ascii="Source Sans Pro" w:eastAsia="Times New Roman" w:hAnsi="Source Sans Pro" w:cs="Calibri"/>
                <w:bCs w:val="0"/>
                <w:color w:val="auto"/>
                <w:sz w:val="22"/>
                <w:szCs w:val="22"/>
              </w:rPr>
            </w:pPr>
            <w:r w:rsidRPr="003E7FE3">
              <w:rPr>
                <w:rFonts w:ascii="Source Sans Pro" w:hAnsi="Source Sans Pro"/>
                <w:color w:val="auto"/>
                <w:sz w:val="22"/>
                <w:szCs w:val="22"/>
                <w:lang w:val="fr"/>
              </w:rPr>
              <w:t xml:space="preserve">1. </w:t>
            </w:r>
          </w:p>
        </w:tc>
        <w:tc>
          <w:tcPr>
            <w:tcW w:w="6429" w:type="dxa"/>
            <w:shd w:val="clear" w:color="auto" w:fill="FFFFFF" w:themeFill="background1"/>
          </w:tcPr>
          <w:p w14:paraId="7821D356" w14:textId="77777777" w:rsidR="00484AB2" w:rsidRPr="003E7FE3" w:rsidRDefault="00000000" w:rsidP="00791909">
            <w:pPr>
              <w:pStyle w:val="Default"/>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Calibri"/>
                <w:b/>
                <w:color w:val="auto"/>
                <w:sz w:val="22"/>
                <w:szCs w:val="22"/>
              </w:rPr>
            </w:pPr>
            <w:r w:rsidRPr="003E7FE3">
              <w:rPr>
                <w:rFonts w:ascii="Source Sans Pro" w:hAnsi="Source Sans Pro"/>
                <w:color w:val="auto"/>
                <w:sz w:val="22"/>
                <w:szCs w:val="22"/>
                <w:lang w:val="fr"/>
              </w:rPr>
              <w:t>Document de lancement</w:t>
            </w:r>
          </w:p>
        </w:tc>
        <w:tc>
          <w:tcPr>
            <w:tcW w:w="1956" w:type="dxa"/>
            <w:shd w:val="clear" w:color="auto" w:fill="FFFFFF" w:themeFill="background1"/>
          </w:tcPr>
          <w:p w14:paraId="44B5746A" w14:textId="77777777" w:rsidR="00484AB2" w:rsidRPr="003E7FE3" w:rsidRDefault="00000000" w:rsidP="00791909">
            <w:pPr>
              <w:pStyle w:val="Default"/>
              <w:jc w:val="cente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Calibri"/>
                <w:b/>
                <w:color w:val="auto"/>
                <w:sz w:val="22"/>
                <w:szCs w:val="22"/>
              </w:rPr>
            </w:pPr>
            <w:r w:rsidRPr="003E7FE3">
              <w:rPr>
                <w:rFonts w:ascii="Source Sans Pro" w:hAnsi="Source Sans Pro"/>
                <w:color w:val="auto"/>
                <w:sz w:val="22"/>
                <w:szCs w:val="22"/>
                <w:lang w:val="fr"/>
              </w:rPr>
              <w:t>2 jours</w:t>
            </w:r>
          </w:p>
        </w:tc>
      </w:tr>
      <w:tr w:rsidR="003E7FE3" w:rsidRPr="003E7FE3" w14:paraId="39ECC097" w14:textId="77777777" w:rsidTr="00791909">
        <w:trPr>
          <w:trHeight w:val="110"/>
        </w:trPr>
        <w:tc>
          <w:tcPr>
            <w:cnfStyle w:val="001000000000" w:firstRow="0" w:lastRow="0" w:firstColumn="1" w:lastColumn="0" w:oddVBand="0" w:evenVBand="0" w:oddHBand="0" w:evenHBand="0" w:firstRowFirstColumn="0" w:firstRowLastColumn="0" w:lastRowFirstColumn="0" w:lastRowLastColumn="0"/>
            <w:tcW w:w="699" w:type="dxa"/>
            <w:shd w:val="clear" w:color="auto" w:fill="FFFFFF" w:themeFill="background1"/>
          </w:tcPr>
          <w:p w14:paraId="2FC7AE66" w14:textId="77777777" w:rsidR="00484AB2" w:rsidRPr="003E7FE3" w:rsidRDefault="00000000" w:rsidP="00791909">
            <w:pPr>
              <w:pStyle w:val="Default"/>
              <w:rPr>
                <w:rFonts w:ascii="Source Sans Pro" w:eastAsia="Times New Roman" w:hAnsi="Source Sans Pro" w:cs="Calibri"/>
                <w:bCs w:val="0"/>
                <w:color w:val="auto"/>
                <w:sz w:val="22"/>
                <w:szCs w:val="22"/>
              </w:rPr>
            </w:pPr>
            <w:r w:rsidRPr="003E7FE3">
              <w:rPr>
                <w:rFonts w:ascii="Source Sans Pro" w:hAnsi="Source Sans Pro"/>
                <w:color w:val="auto"/>
                <w:sz w:val="22"/>
                <w:szCs w:val="22"/>
                <w:lang w:val="fr"/>
              </w:rPr>
              <w:t xml:space="preserve">2. </w:t>
            </w:r>
          </w:p>
        </w:tc>
        <w:tc>
          <w:tcPr>
            <w:tcW w:w="6429" w:type="dxa"/>
            <w:shd w:val="clear" w:color="auto" w:fill="FFFFFF" w:themeFill="background1"/>
          </w:tcPr>
          <w:p w14:paraId="1A7A4E1C" w14:textId="77777777" w:rsidR="00484AB2" w:rsidRPr="003E7FE3" w:rsidRDefault="00000000" w:rsidP="00791909">
            <w:pPr>
              <w:pStyle w:val="Default"/>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Calibri"/>
                <w:color w:val="auto"/>
                <w:sz w:val="22"/>
                <w:szCs w:val="22"/>
                <w:lang w:val="fr-FR"/>
              </w:rPr>
            </w:pPr>
            <w:r w:rsidRPr="003E7FE3">
              <w:rPr>
                <w:rFonts w:ascii="Source Sans Pro" w:hAnsi="Source Sans Pro"/>
                <w:color w:val="auto"/>
                <w:sz w:val="22"/>
                <w:szCs w:val="22"/>
                <w:lang w:val="fr"/>
              </w:rPr>
              <w:t>Examen documentaire des documents existants et des fournisseurs d’équipement</w:t>
            </w:r>
          </w:p>
        </w:tc>
        <w:tc>
          <w:tcPr>
            <w:tcW w:w="1956" w:type="dxa"/>
            <w:shd w:val="clear" w:color="auto" w:fill="FFFFFF" w:themeFill="background1"/>
          </w:tcPr>
          <w:p w14:paraId="61133BDF" w14:textId="77777777" w:rsidR="00484AB2" w:rsidRPr="003E7FE3" w:rsidRDefault="00000000" w:rsidP="00791909">
            <w:pPr>
              <w:pStyle w:val="Default"/>
              <w:jc w:val="cente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Calibri"/>
                <w:color w:val="auto"/>
                <w:sz w:val="22"/>
                <w:szCs w:val="22"/>
              </w:rPr>
            </w:pPr>
            <w:r w:rsidRPr="003E7FE3">
              <w:rPr>
                <w:rFonts w:ascii="Source Sans Pro" w:hAnsi="Source Sans Pro"/>
                <w:color w:val="auto"/>
                <w:sz w:val="22"/>
                <w:szCs w:val="22"/>
                <w:lang w:val="fr"/>
              </w:rPr>
              <w:t>5 jours</w:t>
            </w:r>
          </w:p>
        </w:tc>
      </w:tr>
      <w:tr w:rsidR="003E7FE3" w:rsidRPr="003E7FE3" w14:paraId="65FEDE67" w14:textId="77777777" w:rsidTr="00791909">
        <w:trPr>
          <w:trHeight w:val="110"/>
        </w:trPr>
        <w:tc>
          <w:tcPr>
            <w:cnfStyle w:val="001000000000" w:firstRow="0" w:lastRow="0" w:firstColumn="1" w:lastColumn="0" w:oddVBand="0" w:evenVBand="0" w:oddHBand="0" w:evenHBand="0" w:firstRowFirstColumn="0" w:firstRowLastColumn="0" w:lastRowFirstColumn="0" w:lastRowLastColumn="0"/>
            <w:tcW w:w="699" w:type="dxa"/>
            <w:shd w:val="clear" w:color="auto" w:fill="FFFFFF" w:themeFill="background1"/>
          </w:tcPr>
          <w:p w14:paraId="4AA52DE2" w14:textId="77777777" w:rsidR="00484AB2" w:rsidRPr="003E7FE3" w:rsidRDefault="00000000" w:rsidP="00791909">
            <w:pPr>
              <w:pStyle w:val="Default"/>
              <w:rPr>
                <w:rFonts w:ascii="Source Sans Pro" w:eastAsia="Times New Roman" w:hAnsi="Source Sans Pro" w:cs="Calibri"/>
                <w:b w:val="0"/>
                <w:bCs w:val="0"/>
                <w:color w:val="auto"/>
                <w:sz w:val="22"/>
                <w:szCs w:val="22"/>
              </w:rPr>
            </w:pPr>
            <w:r w:rsidRPr="003E7FE3">
              <w:rPr>
                <w:rFonts w:ascii="Source Sans Pro" w:hAnsi="Source Sans Pro"/>
                <w:color w:val="auto"/>
                <w:sz w:val="22"/>
                <w:szCs w:val="22"/>
                <w:lang w:val="fr"/>
              </w:rPr>
              <w:t xml:space="preserve">3. </w:t>
            </w:r>
          </w:p>
        </w:tc>
        <w:tc>
          <w:tcPr>
            <w:tcW w:w="6429" w:type="dxa"/>
            <w:shd w:val="clear" w:color="auto" w:fill="FFFFFF" w:themeFill="background1"/>
          </w:tcPr>
          <w:p w14:paraId="3DDE0673" w14:textId="77777777" w:rsidR="00484AB2" w:rsidRPr="003E7FE3" w:rsidRDefault="00000000" w:rsidP="00791909">
            <w:pPr>
              <w:pStyle w:val="Default"/>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Calibri"/>
                <w:color w:val="auto"/>
                <w:sz w:val="22"/>
                <w:szCs w:val="22"/>
                <w:lang w:val="fr-FR"/>
              </w:rPr>
            </w:pPr>
            <w:r w:rsidRPr="003E7FE3">
              <w:rPr>
                <w:rFonts w:ascii="Source Sans Pro" w:hAnsi="Source Sans Pro"/>
                <w:color w:val="auto"/>
                <w:sz w:val="22"/>
                <w:szCs w:val="22"/>
                <w:lang w:val="fr"/>
              </w:rPr>
              <w:t>Entretiens avec le groupe cible</w:t>
            </w:r>
          </w:p>
        </w:tc>
        <w:tc>
          <w:tcPr>
            <w:tcW w:w="1956" w:type="dxa"/>
            <w:shd w:val="clear" w:color="auto" w:fill="FFFFFF" w:themeFill="background1"/>
          </w:tcPr>
          <w:p w14:paraId="09AA5155" w14:textId="77777777" w:rsidR="00484AB2" w:rsidRPr="003E7FE3" w:rsidRDefault="00000000" w:rsidP="00791909">
            <w:pPr>
              <w:pStyle w:val="Default"/>
              <w:jc w:val="cente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Calibri"/>
                <w:color w:val="auto"/>
                <w:sz w:val="22"/>
                <w:szCs w:val="22"/>
              </w:rPr>
            </w:pPr>
            <w:r w:rsidRPr="003E7FE3">
              <w:rPr>
                <w:rFonts w:ascii="Source Sans Pro" w:hAnsi="Source Sans Pro"/>
                <w:color w:val="auto"/>
                <w:sz w:val="22"/>
                <w:szCs w:val="22"/>
                <w:lang w:val="fr"/>
              </w:rPr>
              <w:t>21 jours</w:t>
            </w:r>
          </w:p>
        </w:tc>
      </w:tr>
      <w:tr w:rsidR="003E7FE3" w:rsidRPr="003E7FE3" w14:paraId="2E254A07" w14:textId="77777777" w:rsidTr="00791909">
        <w:trPr>
          <w:trHeight w:val="110"/>
        </w:trPr>
        <w:tc>
          <w:tcPr>
            <w:cnfStyle w:val="001000000000" w:firstRow="0" w:lastRow="0" w:firstColumn="1" w:lastColumn="0" w:oddVBand="0" w:evenVBand="0" w:oddHBand="0" w:evenHBand="0" w:firstRowFirstColumn="0" w:firstRowLastColumn="0" w:lastRowFirstColumn="0" w:lastRowLastColumn="0"/>
            <w:tcW w:w="699" w:type="dxa"/>
            <w:shd w:val="clear" w:color="auto" w:fill="FFFFFF" w:themeFill="background1"/>
          </w:tcPr>
          <w:p w14:paraId="7DA6FBEB" w14:textId="77777777" w:rsidR="00484AB2" w:rsidRPr="003E7FE3" w:rsidRDefault="00000000" w:rsidP="00791909">
            <w:pPr>
              <w:pStyle w:val="Default"/>
              <w:rPr>
                <w:rFonts w:ascii="Source Sans Pro" w:eastAsia="Times New Roman" w:hAnsi="Source Sans Pro" w:cs="Calibri"/>
                <w:b w:val="0"/>
                <w:bCs w:val="0"/>
                <w:color w:val="auto"/>
                <w:sz w:val="22"/>
                <w:szCs w:val="22"/>
              </w:rPr>
            </w:pPr>
            <w:r w:rsidRPr="003E7FE3">
              <w:rPr>
                <w:rFonts w:ascii="Source Sans Pro" w:hAnsi="Source Sans Pro"/>
                <w:color w:val="auto"/>
                <w:sz w:val="22"/>
                <w:szCs w:val="22"/>
                <w:lang w:val="fr"/>
              </w:rPr>
              <w:t xml:space="preserve">4. </w:t>
            </w:r>
          </w:p>
        </w:tc>
        <w:tc>
          <w:tcPr>
            <w:tcW w:w="6429" w:type="dxa"/>
            <w:shd w:val="clear" w:color="auto" w:fill="FFFFFF" w:themeFill="background1"/>
          </w:tcPr>
          <w:p w14:paraId="0A1B52CC" w14:textId="77777777" w:rsidR="00484AB2" w:rsidRPr="003E7FE3" w:rsidRDefault="00000000" w:rsidP="00791909">
            <w:pPr>
              <w:pStyle w:val="Default"/>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Calibri"/>
                <w:color w:val="auto"/>
                <w:sz w:val="22"/>
                <w:szCs w:val="22"/>
                <w:lang w:val="fr-FR"/>
              </w:rPr>
            </w:pPr>
            <w:r w:rsidRPr="003E7FE3">
              <w:rPr>
                <w:rFonts w:ascii="Source Sans Pro" w:hAnsi="Source Sans Pro"/>
                <w:color w:val="auto"/>
                <w:sz w:val="22"/>
                <w:szCs w:val="22"/>
                <w:lang w:val="fr"/>
              </w:rPr>
              <w:t xml:space="preserve">Rédaction de la 1ère ébauche du Rapport et </w:t>
            </w:r>
            <w:r w:rsidRPr="003E7FE3">
              <w:rPr>
                <w:rFonts w:ascii="Source Sans Pro" w:hAnsi="Source Sans Pro"/>
                <w:color w:val="auto"/>
                <w:sz w:val="22"/>
                <w:szCs w:val="22"/>
                <w:lang w:val="fr-FR"/>
              </w:rPr>
              <w:t xml:space="preserve">de la </w:t>
            </w:r>
            <w:r w:rsidRPr="003E7FE3">
              <w:rPr>
                <w:rFonts w:ascii="Source Sans Pro" w:hAnsi="Source Sans Pro"/>
                <w:color w:val="auto"/>
                <w:sz w:val="22"/>
                <w:szCs w:val="22"/>
                <w:lang w:val="fr"/>
              </w:rPr>
              <w:t>note conceptuelle</w:t>
            </w:r>
          </w:p>
        </w:tc>
        <w:tc>
          <w:tcPr>
            <w:tcW w:w="1956" w:type="dxa"/>
            <w:shd w:val="clear" w:color="auto" w:fill="FFFFFF" w:themeFill="background1"/>
          </w:tcPr>
          <w:p w14:paraId="5544094A" w14:textId="77777777" w:rsidR="00484AB2" w:rsidRPr="003E7FE3" w:rsidRDefault="00000000" w:rsidP="00791909">
            <w:pPr>
              <w:pStyle w:val="Default"/>
              <w:jc w:val="cente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Calibri"/>
                <w:color w:val="auto"/>
                <w:sz w:val="22"/>
                <w:szCs w:val="22"/>
              </w:rPr>
            </w:pPr>
            <w:r w:rsidRPr="003E7FE3">
              <w:rPr>
                <w:rFonts w:ascii="Source Sans Pro" w:hAnsi="Source Sans Pro"/>
                <w:color w:val="auto"/>
                <w:sz w:val="22"/>
                <w:szCs w:val="22"/>
                <w:lang w:val="fr"/>
              </w:rPr>
              <w:t>5 jours</w:t>
            </w:r>
          </w:p>
        </w:tc>
      </w:tr>
      <w:tr w:rsidR="003E7FE3" w:rsidRPr="003E7FE3" w14:paraId="353696CF" w14:textId="77777777" w:rsidTr="00791909">
        <w:trPr>
          <w:trHeight w:val="110"/>
        </w:trPr>
        <w:tc>
          <w:tcPr>
            <w:cnfStyle w:val="001000000000" w:firstRow="0" w:lastRow="0" w:firstColumn="1" w:lastColumn="0" w:oddVBand="0" w:evenVBand="0" w:oddHBand="0" w:evenHBand="0" w:firstRowFirstColumn="0" w:firstRowLastColumn="0" w:lastRowFirstColumn="0" w:lastRowLastColumn="0"/>
            <w:tcW w:w="699" w:type="dxa"/>
            <w:shd w:val="clear" w:color="auto" w:fill="FFFFFF" w:themeFill="background1"/>
          </w:tcPr>
          <w:p w14:paraId="6795C8D4" w14:textId="77777777" w:rsidR="00484AB2" w:rsidRPr="003E7FE3" w:rsidRDefault="00000000" w:rsidP="00791909">
            <w:pPr>
              <w:pStyle w:val="Default"/>
              <w:rPr>
                <w:rFonts w:ascii="Source Sans Pro" w:eastAsia="Times New Roman" w:hAnsi="Source Sans Pro" w:cs="Calibri"/>
                <w:b w:val="0"/>
                <w:bCs w:val="0"/>
                <w:color w:val="auto"/>
                <w:sz w:val="22"/>
                <w:szCs w:val="22"/>
              </w:rPr>
            </w:pPr>
            <w:r w:rsidRPr="003E7FE3">
              <w:rPr>
                <w:rFonts w:ascii="Source Sans Pro" w:hAnsi="Source Sans Pro"/>
                <w:color w:val="auto"/>
                <w:sz w:val="22"/>
                <w:szCs w:val="22"/>
                <w:lang w:val="fr"/>
              </w:rPr>
              <w:t xml:space="preserve">5. </w:t>
            </w:r>
          </w:p>
        </w:tc>
        <w:tc>
          <w:tcPr>
            <w:tcW w:w="6429" w:type="dxa"/>
            <w:shd w:val="clear" w:color="auto" w:fill="FFFFFF" w:themeFill="background1"/>
          </w:tcPr>
          <w:p w14:paraId="7846687F" w14:textId="77777777" w:rsidR="00484AB2" w:rsidRPr="003E7FE3" w:rsidRDefault="00000000" w:rsidP="00791909">
            <w:pPr>
              <w:pStyle w:val="Default"/>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Calibri"/>
                <w:color w:val="auto"/>
                <w:sz w:val="22"/>
                <w:szCs w:val="22"/>
                <w:lang w:val="fr-FR"/>
              </w:rPr>
            </w:pPr>
            <w:r w:rsidRPr="003E7FE3">
              <w:rPr>
                <w:rFonts w:ascii="Source Sans Pro" w:hAnsi="Source Sans Pro"/>
                <w:color w:val="auto"/>
                <w:sz w:val="22"/>
                <w:szCs w:val="22"/>
                <w:lang w:val="fr"/>
              </w:rPr>
              <w:t xml:space="preserve">Compte rendu avec </w:t>
            </w:r>
            <w:r w:rsidRPr="003E7FE3">
              <w:rPr>
                <w:rFonts w:ascii="Source Sans Pro" w:hAnsi="Source Sans Pro"/>
                <w:color w:val="auto"/>
                <w:sz w:val="22"/>
                <w:szCs w:val="22"/>
                <w:lang w:val="fr-FR"/>
              </w:rPr>
              <w:t xml:space="preserve">le </w:t>
            </w:r>
            <w:r w:rsidRPr="003E7FE3">
              <w:rPr>
                <w:rFonts w:ascii="Source Sans Pro" w:hAnsi="Source Sans Pro"/>
                <w:color w:val="auto"/>
                <w:sz w:val="22"/>
                <w:szCs w:val="22"/>
                <w:lang w:val="fr"/>
              </w:rPr>
              <w:t xml:space="preserve">Secrétariat et </w:t>
            </w:r>
            <w:r w:rsidRPr="003E7FE3">
              <w:rPr>
                <w:rFonts w:ascii="Source Sans Pro" w:hAnsi="Source Sans Pro"/>
                <w:color w:val="auto"/>
                <w:sz w:val="22"/>
                <w:szCs w:val="22"/>
                <w:lang w:val="fr-FR"/>
              </w:rPr>
              <w:t>CT</w:t>
            </w:r>
            <w:r w:rsidRPr="003E7FE3">
              <w:rPr>
                <w:rFonts w:ascii="Source Sans Pro" w:hAnsi="Source Sans Pro"/>
                <w:color w:val="auto"/>
                <w:sz w:val="22"/>
                <w:szCs w:val="22"/>
                <w:lang w:val="fr"/>
              </w:rPr>
              <w:t xml:space="preserve"> </w:t>
            </w:r>
            <w:proofErr w:type="gramStart"/>
            <w:r w:rsidRPr="003E7FE3">
              <w:rPr>
                <w:rFonts w:ascii="Source Sans Pro" w:hAnsi="Source Sans Pro"/>
                <w:color w:val="auto"/>
                <w:sz w:val="22"/>
                <w:szCs w:val="22"/>
                <w:lang w:val="fr"/>
              </w:rPr>
              <w:t>Finances ,</w:t>
            </w:r>
            <w:proofErr w:type="gramEnd"/>
            <w:r w:rsidRPr="003E7FE3">
              <w:rPr>
                <w:rFonts w:ascii="Source Sans Pro" w:hAnsi="Source Sans Pro"/>
                <w:color w:val="auto"/>
                <w:sz w:val="22"/>
                <w:szCs w:val="22"/>
                <w:lang w:val="fr"/>
              </w:rPr>
              <w:t xml:space="preserve"> Mécanisation, Partenaire donateur, Alignement des donateurs </w:t>
            </w:r>
            <w:r w:rsidRPr="003E7FE3">
              <w:rPr>
                <w:rFonts w:ascii="Source Sans Pro" w:hAnsi="Source Sans Pro"/>
                <w:color w:val="auto"/>
                <w:sz w:val="22"/>
                <w:szCs w:val="22"/>
                <w:lang w:val="fr-FR"/>
              </w:rPr>
              <w:t>d’ERO</w:t>
            </w:r>
          </w:p>
        </w:tc>
        <w:tc>
          <w:tcPr>
            <w:tcW w:w="1956" w:type="dxa"/>
            <w:shd w:val="clear" w:color="auto" w:fill="FFFFFF" w:themeFill="background1"/>
          </w:tcPr>
          <w:p w14:paraId="4023B72A" w14:textId="77777777" w:rsidR="00484AB2" w:rsidRPr="003E7FE3" w:rsidRDefault="00000000" w:rsidP="00791909">
            <w:pPr>
              <w:pStyle w:val="Default"/>
              <w:jc w:val="cente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Calibri"/>
                <w:color w:val="auto"/>
                <w:sz w:val="22"/>
                <w:szCs w:val="22"/>
              </w:rPr>
            </w:pPr>
            <w:r w:rsidRPr="003E7FE3">
              <w:rPr>
                <w:rFonts w:ascii="Source Sans Pro" w:hAnsi="Source Sans Pro"/>
                <w:color w:val="auto"/>
                <w:sz w:val="22"/>
                <w:szCs w:val="22"/>
                <w:lang w:val="fr"/>
              </w:rPr>
              <w:t>2 jours</w:t>
            </w:r>
          </w:p>
        </w:tc>
      </w:tr>
      <w:tr w:rsidR="003E7FE3" w:rsidRPr="003E7FE3" w14:paraId="3E0EC05A" w14:textId="77777777" w:rsidTr="00791909">
        <w:trPr>
          <w:trHeight w:val="110"/>
        </w:trPr>
        <w:tc>
          <w:tcPr>
            <w:cnfStyle w:val="001000000000" w:firstRow="0" w:lastRow="0" w:firstColumn="1" w:lastColumn="0" w:oddVBand="0" w:evenVBand="0" w:oddHBand="0" w:evenHBand="0" w:firstRowFirstColumn="0" w:firstRowLastColumn="0" w:lastRowFirstColumn="0" w:lastRowLastColumn="0"/>
            <w:tcW w:w="699" w:type="dxa"/>
            <w:shd w:val="clear" w:color="auto" w:fill="FFFFFF" w:themeFill="background1"/>
          </w:tcPr>
          <w:p w14:paraId="0A4440CB" w14:textId="77777777" w:rsidR="00484AB2" w:rsidRPr="003E7FE3" w:rsidRDefault="00000000" w:rsidP="00791909">
            <w:pPr>
              <w:pStyle w:val="Default"/>
              <w:rPr>
                <w:rFonts w:ascii="Source Sans Pro" w:eastAsia="Times New Roman" w:hAnsi="Source Sans Pro" w:cs="Calibri"/>
                <w:b w:val="0"/>
                <w:bCs w:val="0"/>
                <w:color w:val="auto"/>
                <w:sz w:val="22"/>
                <w:szCs w:val="22"/>
              </w:rPr>
            </w:pPr>
            <w:r w:rsidRPr="003E7FE3">
              <w:rPr>
                <w:rFonts w:ascii="Source Sans Pro" w:hAnsi="Source Sans Pro"/>
                <w:color w:val="auto"/>
                <w:sz w:val="22"/>
                <w:szCs w:val="22"/>
                <w:lang w:val="fr"/>
              </w:rPr>
              <w:t>6.</w:t>
            </w:r>
          </w:p>
        </w:tc>
        <w:tc>
          <w:tcPr>
            <w:tcW w:w="6429" w:type="dxa"/>
            <w:shd w:val="clear" w:color="auto" w:fill="FFFFFF" w:themeFill="background1"/>
          </w:tcPr>
          <w:p w14:paraId="77766B0F" w14:textId="77777777" w:rsidR="00484AB2" w:rsidRPr="003E7FE3" w:rsidRDefault="00000000" w:rsidP="00791909">
            <w:pPr>
              <w:pStyle w:val="Default"/>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Calibri"/>
                <w:color w:val="auto"/>
                <w:sz w:val="22"/>
                <w:szCs w:val="22"/>
                <w:lang w:val="fr-FR"/>
              </w:rPr>
            </w:pPr>
            <w:r w:rsidRPr="003E7FE3">
              <w:rPr>
                <w:rFonts w:ascii="Source Sans Pro" w:hAnsi="Source Sans Pro"/>
                <w:color w:val="auto"/>
                <w:sz w:val="22"/>
                <w:szCs w:val="22"/>
                <w:lang w:val="fr"/>
              </w:rPr>
              <w:t>Rédaction du rapport final et de la note conceptuelle</w:t>
            </w:r>
          </w:p>
        </w:tc>
        <w:tc>
          <w:tcPr>
            <w:tcW w:w="1956" w:type="dxa"/>
            <w:shd w:val="clear" w:color="auto" w:fill="FFFFFF" w:themeFill="background1"/>
          </w:tcPr>
          <w:p w14:paraId="14F60AF3" w14:textId="77777777" w:rsidR="00484AB2" w:rsidRPr="003E7FE3" w:rsidRDefault="00000000" w:rsidP="00791909">
            <w:pPr>
              <w:pStyle w:val="Default"/>
              <w:jc w:val="cente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Calibri"/>
                <w:color w:val="auto"/>
                <w:sz w:val="22"/>
                <w:szCs w:val="22"/>
              </w:rPr>
            </w:pPr>
            <w:r w:rsidRPr="003E7FE3">
              <w:rPr>
                <w:rFonts w:ascii="Source Sans Pro" w:hAnsi="Source Sans Pro"/>
                <w:color w:val="auto"/>
                <w:sz w:val="22"/>
                <w:szCs w:val="22"/>
                <w:lang w:val="fr"/>
              </w:rPr>
              <w:t>6 jours</w:t>
            </w:r>
          </w:p>
        </w:tc>
      </w:tr>
      <w:tr w:rsidR="003E7FE3" w:rsidRPr="003E7FE3" w14:paraId="44BB43FE" w14:textId="77777777" w:rsidTr="00791909">
        <w:trPr>
          <w:trHeight w:val="110"/>
        </w:trPr>
        <w:tc>
          <w:tcPr>
            <w:cnfStyle w:val="001000000000" w:firstRow="0" w:lastRow="0" w:firstColumn="1" w:lastColumn="0" w:oddVBand="0" w:evenVBand="0" w:oddHBand="0" w:evenHBand="0" w:firstRowFirstColumn="0" w:firstRowLastColumn="0" w:lastRowFirstColumn="0" w:lastRowLastColumn="0"/>
            <w:tcW w:w="7128" w:type="dxa"/>
            <w:gridSpan w:val="2"/>
            <w:shd w:val="clear" w:color="auto" w:fill="FFFFFF" w:themeFill="background1"/>
          </w:tcPr>
          <w:p w14:paraId="56F61FC0" w14:textId="77777777" w:rsidR="00484AB2" w:rsidRPr="003E7FE3" w:rsidRDefault="00000000" w:rsidP="00791909">
            <w:pPr>
              <w:pStyle w:val="Default"/>
              <w:rPr>
                <w:rFonts w:ascii="Source Sans Pro" w:eastAsia="Times New Roman" w:hAnsi="Source Sans Pro" w:cs="Calibri"/>
                <w:b w:val="0"/>
                <w:bCs w:val="0"/>
                <w:color w:val="auto"/>
                <w:sz w:val="22"/>
                <w:szCs w:val="22"/>
              </w:rPr>
            </w:pPr>
            <w:r w:rsidRPr="003E7FE3">
              <w:rPr>
                <w:rFonts w:ascii="Source Sans Pro" w:hAnsi="Source Sans Pro"/>
                <w:b w:val="0"/>
                <w:color w:val="auto"/>
                <w:sz w:val="22"/>
                <w:szCs w:val="22"/>
                <w:lang w:val="fr"/>
              </w:rPr>
              <w:t xml:space="preserve">Nombre total de jours </w:t>
            </w:r>
          </w:p>
        </w:tc>
        <w:tc>
          <w:tcPr>
            <w:tcW w:w="1956" w:type="dxa"/>
            <w:shd w:val="clear" w:color="auto" w:fill="FFFFFF" w:themeFill="background1"/>
          </w:tcPr>
          <w:p w14:paraId="3B2CE789" w14:textId="77777777" w:rsidR="00484AB2" w:rsidRPr="003E7FE3" w:rsidRDefault="00000000" w:rsidP="00791909">
            <w:pPr>
              <w:pStyle w:val="Default"/>
              <w:jc w:val="cente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Calibri"/>
                <w:b/>
                <w:color w:val="auto"/>
                <w:sz w:val="22"/>
                <w:szCs w:val="22"/>
              </w:rPr>
            </w:pPr>
            <w:r w:rsidRPr="003E7FE3">
              <w:rPr>
                <w:rFonts w:ascii="Source Sans Pro" w:hAnsi="Source Sans Pro"/>
                <w:b/>
                <w:color w:val="auto"/>
                <w:sz w:val="22"/>
                <w:szCs w:val="22"/>
                <w:lang w:val="fr"/>
              </w:rPr>
              <w:t>40 jours</w:t>
            </w:r>
          </w:p>
        </w:tc>
      </w:tr>
    </w:tbl>
    <w:p w14:paraId="5F2C3D37" w14:textId="77777777" w:rsidR="00484AB2" w:rsidRPr="003E7FE3" w:rsidRDefault="00484AB2">
      <w:pPr>
        <w:rPr>
          <w:rFonts w:ascii="Source Sans Pro" w:eastAsia="Times New Roman" w:hAnsi="Source Sans Pro" w:cs="Calibri"/>
          <w:sz w:val="12"/>
        </w:rPr>
      </w:pPr>
    </w:p>
    <w:p w14:paraId="5D21D52D" w14:textId="77777777" w:rsidR="00791909" w:rsidRPr="003E7FE3" w:rsidRDefault="00791909" w:rsidP="00791909">
      <w:pPr>
        <w:rPr>
          <w:rFonts w:ascii="Source Sans Pro" w:hAnsi="Source Sans Pro" w:cs="Calibri"/>
          <w:lang w:val="fr-FR"/>
        </w:rPr>
      </w:pPr>
      <w:r w:rsidRPr="003E7FE3">
        <w:rPr>
          <w:rFonts w:ascii="Source Sans Pro" w:hAnsi="Source Sans Pro"/>
          <w:lang w:val="fr"/>
        </w:rPr>
        <w:t xml:space="preserve">Ce calendrier comprend </w:t>
      </w:r>
      <w:proofErr w:type="spellStart"/>
      <w:r w:rsidRPr="003E7FE3">
        <w:rPr>
          <w:rFonts w:ascii="Source Sans Pro" w:hAnsi="Source Sans Pro"/>
          <w:lang w:val="fr-FR"/>
        </w:rPr>
        <w:t>l</w:t>
      </w:r>
      <w:r w:rsidRPr="003E7FE3">
        <w:rPr>
          <w:rFonts w:ascii="Source Sans Pro" w:hAnsi="Source Sans Pro"/>
          <w:lang w:val="fr"/>
        </w:rPr>
        <w:t>es</w:t>
      </w:r>
      <w:proofErr w:type="spellEnd"/>
      <w:r w:rsidRPr="003E7FE3">
        <w:rPr>
          <w:rFonts w:ascii="Source Sans Pro" w:hAnsi="Source Sans Pro"/>
          <w:lang w:val="fr"/>
        </w:rPr>
        <w:t xml:space="preserve"> déplacements pour rencontrer certains partenaires et intervenants de la région, au besoin, et cela se fera en accord avec le consultant ou le cabinet.</w:t>
      </w:r>
    </w:p>
    <w:p w14:paraId="004B2046" w14:textId="77777777" w:rsidR="00791909" w:rsidRPr="003E7FE3" w:rsidRDefault="00791909">
      <w:pPr>
        <w:rPr>
          <w:rFonts w:ascii="Source Sans Pro" w:eastAsia="Times New Roman" w:hAnsi="Source Sans Pro" w:cs="Calibri"/>
          <w:lang w:val="fr-FR"/>
        </w:rPr>
      </w:pPr>
    </w:p>
    <w:p w14:paraId="7AFB9353" w14:textId="77777777" w:rsidR="00484AB2" w:rsidRPr="003E7FE3" w:rsidRDefault="00000000">
      <w:pPr>
        <w:pStyle w:val="ListParagraph"/>
        <w:numPr>
          <w:ilvl w:val="0"/>
          <w:numId w:val="2"/>
        </w:numPr>
        <w:rPr>
          <w:rFonts w:ascii="Source Sans Pro" w:eastAsia="Times New Roman" w:hAnsi="Source Sans Pro" w:cstheme="majorBidi"/>
          <w:b/>
          <w:bCs/>
          <w:sz w:val="24"/>
          <w:szCs w:val="24"/>
        </w:rPr>
      </w:pPr>
      <w:proofErr w:type="spellStart"/>
      <w:r w:rsidRPr="003E7FE3">
        <w:rPr>
          <w:rFonts w:ascii="Source Sans Pro" w:eastAsia="Times New Roman" w:hAnsi="Source Sans Pro" w:cstheme="majorBidi"/>
          <w:b/>
          <w:bCs/>
          <w:sz w:val="24"/>
          <w:szCs w:val="24"/>
        </w:rPr>
        <w:t>Livrables</w:t>
      </w:r>
      <w:proofErr w:type="spellEnd"/>
    </w:p>
    <w:p w14:paraId="204FDEA0" w14:textId="77777777" w:rsidR="00484AB2" w:rsidRPr="003E7FE3" w:rsidRDefault="00000000">
      <w:pPr>
        <w:pStyle w:val="ListParagraph"/>
        <w:numPr>
          <w:ilvl w:val="0"/>
          <w:numId w:val="5"/>
        </w:numPr>
        <w:rPr>
          <w:rFonts w:ascii="Source Sans Pro" w:hAnsi="Source Sans Pro" w:cs="Times New Roman"/>
          <w:sz w:val="24"/>
          <w:szCs w:val="24"/>
          <w:lang w:val="fr-FR"/>
        </w:rPr>
      </w:pPr>
      <w:r w:rsidRPr="003E7FE3">
        <w:rPr>
          <w:rFonts w:ascii="Source Sans Pro" w:eastAsia="Calibri" w:hAnsi="Source Sans Pro"/>
          <w:lang w:val="fr-FR"/>
        </w:rPr>
        <w:lastRenderedPageBreak/>
        <w:t xml:space="preserve"> </w:t>
      </w:r>
      <w:r w:rsidRPr="003E7FE3">
        <w:rPr>
          <w:rFonts w:ascii="Source Sans Pro" w:hAnsi="Source Sans Pro"/>
          <w:sz w:val="24"/>
          <w:szCs w:val="24"/>
          <w:lang w:val="fr"/>
        </w:rPr>
        <w:t xml:space="preserve"> Une note conceptuelle d’investissement qui vise à améliorer la disponibilité et le financement de solutions mécanisées pour le secteur du riz à tous les niveaux de la chaîne de valeur.</w:t>
      </w:r>
    </w:p>
    <w:p w14:paraId="331C6330" w14:textId="77777777" w:rsidR="00484AB2" w:rsidRPr="003E7FE3" w:rsidRDefault="00000000">
      <w:pPr>
        <w:pStyle w:val="ListParagraph"/>
        <w:numPr>
          <w:ilvl w:val="0"/>
          <w:numId w:val="5"/>
        </w:numPr>
        <w:jc w:val="both"/>
        <w:rPr>
          <w:rFonts w:ascii="Source Sans Pro" w:hAnsi="Source Sans Pro" w:cs="Arial"/>
          <w:lang w:val="fr-FR"/>
        </w:rPr>
      </w:pPr>
      <w:r w:rsidRPr="003E7FE3">
        <w:rPr>
          <w:rFonts w:ascii="Source Sans Pro" w:hAnsi="Source Sans Pro"/>
          <w:sz w:val="24"/>
          <w:szCs w:val="24"/>
          <w:lang w:val="fr"/>
        </w:rPr>
        <w:t xml:space="preserve">Fournir le rapport final et inclure des recommandations de </w:t>
      </w:r>
      <w:r w:rsidRPr="003E7FE3">
        <w:rPr>
          <w:rFonts w:ascii="Source Sans Pro" w:hAnsi="Source Sans Pro"/>
          <w:lang w:val="fr"/>
        </w:rPr>
        <w:t>modèles commerciaux durables pour la fourniture de services de mécanisation dans le secteur du riz (mécanisation en tant que service).</w:t>
      </w:r>
    </w:p>
    <w:p w14:paraId="6315F1B7" w14:textId="77777777" w:rsidR="00484AB2" w:rsidRPr="003E7FE3" w:rsidRDefault="00000000">
      <w:pPr>
        <w:pStyle w:val="ListParagraph"/>
        <w:numPr>
          <w:ilvl w:val="0"/>
          <w:numId w:val="5"/>
        </w:numPr>
        <w:rPr>
          <w:rFonts w:ascii="Source Sans Pro" w:hAnsi="Source Sans Pro" w:cs="Times New Roman"/>
          <w:sz w:val="24"/>
          <w:szCs w:val="24"/>
          <w:lang w:val="fr-FR"/>
        </w:rPr>
      </w:pPr>
      <w:r w:rsidRPr="003E7FE3">
        <w:rPr>
          <w:rFonts w:ascii="Source Sans Pro" w:hAnsi="Source Sans Pro"/>
          <w:sz w:val="24"/>
          <w:szCs w:val="24"/>
          <w:lang w:val="fr"/>
        </w:rPr>
        <w:t>Un rapport final complet en anglais et en français (qui tien</w:t>
      </w:r>
      <w:proofErr w:type="spellStart"/>
      <w:r w:rsidRPr="003E7FE3">
        <w:rPr>
          <w:rFonts w:ascii="Source Sans Pro" w:hAnsi="Source Sans Pro"/>
          <w:sz w:val="24"/>
          <w:szCs w:val="24"/>
          <w:lang w:val="fr-FR"/>
        </w:rPr>
        <w:t>dra</w:t>
      </w:r>
      <w:proofErr w:type="spellEnd"/>
      <w:r w:rsidRPr="003E7FE3">
        <w:rPr>
          <w:rFonts w:ascii="Source Sans Pro" w:hAnsi="Source Sans Pro"/>
          <w:sz w:val="24"/>
          <w:szCs w:val="24"/>
          <w:lang w:val="fr"/>
        </w:rPr>
        <w:t xml:space="preserve"> compte de toutes les activités mises en évidence dans </w:t>
      </w:r>
      <w:proofErr w:type="spellStart"/>
      <w:r w:rsidRPr="003E7FE3">
        <w:rPr>
          <w:rFonts w:ascii="Source Sans Pro" w:hAnsi="Source Sans Pro"/>
          <w:sz w:val="24"/>
          <w:szCs w:val="24"/>
          <w:lang w:val="fr"/>
        </w:rPr>
        <w:t>l</w:t>
      </w:r>
      <w:r w:rsidRPr="003E7FE3">
        <w:rPr>
          <w:rFonts w:ascii="Source Sans Pro" w:hAnsi="Source Sans Pro"/>
          <w:sz w:val="24"/>
          <w:szCs w:val="24"/>
          <w:lang w:val="fr-FR"/>
        </w:rPr>
        <w:t>e</w:t>
      </w:r>
      <w:proofErr w:type="spellEnd"/>
      <w:r w:rsidRPr="003E7FE3">
        <w:rPr>
          <w:rFonts w:ascii="Source Sans Pro" w:hAnsi="Source Sans Pro"/>
          <w:sz w:val="24"/>
          <w:szCs w:val="24"/>
          <w:lang w:val="fr-FR"/>
        </w:rPr>
        <w:t xml:space="preserve"> cahier des charges</w:t>
      </w:r>
      <w:r w:rsidRPr="003E7FE3">
        <w:rPr>
          <w:rFonts w:ascii="Source Sans Pro" w:hAnsi="Source Sans Pro"/>
          <w:sz w:val="24"/>
          <w:szCs w:val="24"/>
          <w:lang w:val="fr"/>
        </w:rPr>
        <w:t>)</w:t>
      </w:r>
    </w:p>
    <w:p w14:paraId="5BE6EC0B" w14:textId="77777777" w:rsidR="00484AB2" w:rsidRPr="003E7FE3" w:rsidRDefault="00000000">
      <w:pPr>
        <w:pStyle w:val="ListParagraph"/>
        <w:numPr>
          <w:ilvl w:val="0"/>
          <w:numId w:val="7"/>
        </w:numPr>
        <w:rPr>
          <w:rFonts w:ascii="Source Sans Pro" w:eastAsia="Times New Roman" w:hAnsi="Source Sans Pro" w:cstheme="majorBidi"/>
          <w:sz w:val="24"/>
          <w:szCs w:val="24"/>
          <w:lang w:val="fr-FR"/>
        </w:rPr>
      </w:pPr>
      <w:r w:rsidRPr="003E7FE3">
        <w:rPr>
          <w:rFonts w:ascii="Source Sans Pro" w:hAnsi="Source Sans Pro"/>
          <w:sz w:val="24"/>
          <w:szCs w:val="24"/>
          <w:lang w:val="fr"/>
        </w:rPr>
        <w:t>Présentation PPT pour les présentations publiques sur les conclusions et la note conceptuelle</w:t>
      </w:r>
      <w:r w:rsidRPr="003E7FE3">
        <w:rPr>
          <w:rFonts w:ascii="Source Sans Pro" w:hAnsi="Source Sans Pro"/>
          <w:sz w:val="24"/>
          <w:szCs w:val="24"/>
          <w:lang w:val="fr-FR"/>
        </w:rPr>
        <w:t>.</w:t>
      </w:r>
    </w:p>
    <w:p w14:paraId="44FA57C9" w14:textId="77777777" w:rsidR="00484AB2" w:rsidRPr="003E7FE3" w:rsidRDefault="00484AB2">
      <w:pPr>
        <w:pStyle w:val="ListParagraph"/>
        <w:rPr>
          <w:rFonts w:ascii="Source Sans Pro" w:eastAsia="Times New Roman" w:hAnsi="Source Sans Pro" w:cstheme="majorBidi"/>
          <w:sz w:val="24"/>
          <w:szCs w:val="24"/>
          <w:lang w:val="fr-FR"/>
        </w:rPr>
      </w:pPr>
    </w:p>
    <w:p w14:paraId="4AA674F6" w14:textId="77777777" w:rsidR="00484AB2" w:rsidRPr="003E7FE3" w:rsidRDefault="00484AB2">
      <w:pPr>
        <w:spacing w:after="0"/>
        <w:rPr>
          <w:rFonts w:ascii="Source Sans Pro" w:eastAsia="Times New Roman" w:hAnsi="Source Sans Pro" w:cs="Calibri"/>
          <w:sz w:val="12"/>
          <w:lang w:val="fr-FR"/>
        </w:rPr>
      </w:pPr>
    </w:p>
    <w:p w14:paraId="3030296C" w14:textId="77777777" w:rsidR="00791909" w:rsidRPr="003E7FE3" w:rsidRDefault="00791909" w:rsidP="00791909">
      <w:pPr>
        <w:pStyle w:val="ListParagraph"/>
        <w:numPr>
          <w:ilvl w:val="0"/>
          <w:numId w:val="2"/>
        </w:numPr>
        <w:spacing w:before="240" w:after="120"/>
        <w:ind w:left="425" w:hanging="425"/>
        <w:rPr>
          <w:rFonts w:ascii="Source Sans Pro" w:hAnsi="Source Sans Pro"/>
          <w:b/>
          <w:bCs/>
          <w:lang w:val="fr-FR"/>
        </w:rPr>
      </w:pPr>
      <w:r w:rsidRPr="003E7FE3">
        <w:rPr>
          <w:rFonts w:ascii="Source Sans Pro" w:hAnsi="Source Sans Pro"/>
          <w:b/>
          <w:bCs/>
          <w:lang w:val="fr-FR"/>
        </w:rPr>
        <w:t>Processus de sélection</w:t>
      </w:r>
    </w:p>
    <w:p w14:paraId="42B1DC77" w14:textId="77777777" w:rsidR="00791909" w:rsidRPr="003E7FE3" w:rsidRDefault="00791909" w:rsidP="00791909">
      <w:pPr>
        <w:jc w:val="both"/>
        <w:rPr>
          <w:rFonts w:ascii="Source Sans Pro" w:hAnsi="Source Sans Pro" w:cs="Times New Roman"/>
          <w:lang w:val="fr-FR"/>
        </w:rPr>
      </w:pPr>
      <w:r w:rsidRPr="003E7FE3">
        <w:rPr>
          <w:rFonts w:ascii="Source Sans Pro" w:hAnsi="Source Sans Pro" w:cs="Times New Roman"/>
          <w:lang w:val="fr-FR"/>
        </w:rPr>
        <w:t>La Commission de la CEDEAO, à travers l’Agence Régionale pour l’Agriculture et l’Alimentation (ARAA) invite par la présente les personnes physiques à manifester leur intérêt pour fournir les services requis en fournissant les informations démontrant qu’il possède les qualifications requises, l’expérience pertinente pour réaliser la mission.</w:t>
      </w:r>
    </w:p>
    <w:p w14:paraId="3C639EF7" w14:textId="77777777" w:rsidR="00791909" w:rsidRPr="003E7FE3" w:rsidRDefault="00791909" w:rsidP="00791909">
      <w:pPr>
        <w:jc w:val="both"/>
        <w:rPr>
          <w:rFonts w:ascii="Source Sans Pro" w:hAnsi="Source Sans Pro" w:cs="Times New Roman"/>
          <w:lang w:val="fr-FR"/>
        </w:rPr>
      </w:pPr>
      <w:r w:rsidRPr="003E7FE3">
        <w:rPr>
          <w:rFonts w:ascii="Source Sans Pro" w:hAnsi="Source Sans Pro" w:cs="Times New Roman"/>
          <w:lang w:val="fr-FR"/>
        </w:rPr>
        <w:t>L’attention des consultants individuels intéressés est particulièrement attirée sur l’article 117 du Code révisé des marchés publics de la CEDEAO (« Infractions commises par les candidats, les soumissionnaires et les lauréats »), qui fournit des informations sur les pratiques corrompues ou frauduleuses dans la concurrence ou l’exécution d’un contrat. En outre, veuillez-vous référer aux informations spécifiques suivantes sur les conflits d’intérêts liés à cette mission conformément à l’article 118 du Code des marchés publics révisé de la CEDEAO.</w:t>
      </w:r>
    </w:p>
    <w:p w14:paraId="54D64C7C" w14:textId="77777777" w:rsidR="00791909" w:rsidRPr="003E7FE3" w:rsidRDefault="00791909" w:rsidP="00791909">
      <w:pPr>
        <w:jc w:val="both"/>
        <w:rPr>
          <w:rFonts w:ascii="Source Sans Pro" w:hAnsi="Source Sans Pro"/>
          <w:bCs/>
          <w:lang w:val="fr-FR"/>
        </w:rPr>
      </w:pPr>
      <w:r w:rsidRPr="003E7FE3">
        <w:rPr>
          <w:rFonts w:ascii="Source Sans Pro" w:hAnsi="Source Sans Pro"/>
          <w:bCs/>
          <w:lang w:val="fr-FR"/>
        </w:rPr>
        <w:t xml:space="preserve">Un consultant sera sélectionné selon la méthode de sélection individuelle décrite dans le « Règlement des marchés publics » de la CEDEAO. Les principaux critères suivants seront utilisés pour évaluer les candidats : </w:t>
      </w:r>
    </w:p>
    <w:p w14:paraId="3C411A52" w14:textId="77777777" w:rsidR="00791909" w:rsidRPr="003E7FE3" w:rsidRDefault="00791909" w:rsidP="00791909">
      <w:pPr>
        <w:pStyle w:val="ListParagraph"/>
        <w:numPr>
          <w:ilvl w:val="0"/>
          <w:numId w:val="12"/>
        </w:numPr>
        <w:tabs>
          <w:tab w:val="left" w:pos="993"/>
          <w:tab w:val="left" w:pos="3686"/>
        </w:tabs>
        <w:jc w:val="both"/>
        <w:rPr>
          <w:rFonts w:ascii="Source Sans Pro" w:hAnsi="Source Sans Pro"/>
          <w:bCs/>
        </w:rPr>
      </w:pPr>
      <w:r w:rsidRPr="003E7FE3">
        <w:rPr>
          <w:rFonts w:ascii="Source Sans Pro" w:hAnsi="Source Sans Pro"/>
          <w:bCs/>
        </w:rPr>
        <w:t xml:space="preserve">Note </w:t>
      </w:r>
      <w:proofErr w:type="spellStart"/>
      <w:r w:rsidRPr="003E7FE3">
        <w:rPr>
          <w:rFonts w:ascii="Source Sans Pro" w:hAnsi="Source Sans Pro"/>
          <w:bCs/>
        </w:rPr>
        <w:t>conceptuelle</w:t>
      </w:r>
      <w:proofErr w:type="spellEnd"/>
      <w:r w:rsidRPr="003E7FE3">
        <w:rPr>
          <w:rFonts w:ascii="Source Sans Pro" w:hAnsi="Source Sans Pro"/>
          <w:bCs/>
        </w:rPr>
        <w:t xml:space="preserve"> </w:t>
      </w:r>
      <w:r w:rsidRPr="003E7FE3">
        <w:rPr>
          <w:rFonts w:ascii="Source Sans Pro" w:hAnsi="Source Sans Pro"/>
          <w:bCs/>
        </w:rPr>
        <w:tab/>
        <w:t xml:space="preserve">10 </w:t>
      </w:r>
      <w:proofErr w:type="gramStart"/>
      <w:r w:rsidRPr="003E7FE3">
        <w:rPr>
          <w:rFonts w:ascii="Source Sans Pro" w:hAnsi="Source Sans Pro"/>
          <w:bCs/>
        </w:rPr>
        <w:t>points</w:t>
      </w:r>
      <w:proofErr w:type="gramEnd"/>
    </w:p>
    <w:p w14:paraId="289B9D7F" w14:textId="77777777" w:rsidR="00791909" w:rsidRPr="003E7FE3" w:rsidRDefault="00791909" w:rsidP="00791909">
      <w:pPr>
        <w:pStyle w:val="ListParagraph"/>
        <w:numPr>
          <w:ilvl w:val="0"/>
          <w:numId w:val="12"/>
        </w:numPr>
        <w:tabs>
          <w:tab w:val="left" w:pos="993"/>
          <w:tab w:val="left" w:pos="3686"/>
        </w:tabs>
        <w:jc w:val="both"/>
        <w:rPr>
          <w:rFonts w:ascii="Source Sans Pro" w:hAnsi="Source Sans Pro"/>
          <w:bCs/>
        </w:rPr>
      </w:pPr>
      <w:r w:rsidRPr="003E7FE3">
        <w:rPr>
          <w:rFonts w:ascii="Source Sans Pro" w:hAnsi="Source Sans Pro"/>
          <w:bCs/>
        </w:rPr>
        <w:t xml:space="preserve">Qualification du </w:t>
      </w:r>
      <w:proofErr w:type="gramStart"/>
      <w:r w:rsidRPr="003E7FE3">
        <w:rPr>
          <w:rFonts w:ascii="Source Sans Pro" w:hAnsi="Source Sans Pro"/>
          <w:bCs/>
        </w:rPr>
        <w:t>consultant :</w:t>
      </w:r>
      <w:proofErr w:type="gramEnd"/>
      <w:r w:rsidRPr="003E7FE3">
        <w:rPr>
          <w:rFonts w:ascii="Source Sans Pro" w:hAnsi="Source Sans Pro"/>
          <w:bCs/>
        </w:rPr>
        <w:t xml:space="preserve"> </w:t>
      </w:r>
      <w:r w:rsidRPr="003E7FE3">
        <w:rPr>
          <w:rFonts w:ascii="Source Sans Pro" w:hAnsi="Source Sans Pro"/>
          <w:bCs/>
        </w:rPr>
        <w:tab/>
        <w:t>90 points</w:t>
      </w:r>
    </w:p>
    <w:p w14:paraId="74F5E594" w14:textId="77777777" w:rsidR="00791909" w:rsidRPr="003E7FE3" w:rsidRDefault="00791909" w:rsidP="00791909">
      <w:pPr>
        <w:pStyle w:val="ListParagraph"/>
        <w:numPr>
          <w:ilvl w:val="0"/>
          <w:numId w:val="12"/>
        </w:numPr>
        <w:tabs>
          <w:tab w:val="left" w:pos="993"/>
          <w:tab w:val="left" w:pos="3686"/>
        </w:tabs>
        <w:jc w:val="both"/>
        <w:rPr>
          <w:rFonts w:ascii="Source Sans Pro" w:hAnsi="Source Sans Pro"/>
          <w:bCs/>
        </w:rPr>
      </w:pPr>
      <w:r w:rsidRPr="003E7FE3">
        <w:rPr>
          <w:rFonts w:ascii="Source Sans Pro" w:hAnsi="Source Sans Pro"/>
          <w:bCs/>
        </w:rPr>
        <w:t xml:space="preserve">Total </w:t>
      </w:r>
      <w:r w:rsidRPr="003E7FE3">
        <w:rPr>
          <w:rFonts w:ascii="Source Sans Pro" w:hAnsi="Source Sans Pro"/>
          <w:bCs/>
        </w:rPr>
        <w:tab/>
        <w:t>100 points</w:t>
      </w:r>
    </w:p>
    <w:p w14:paraId="187553CE" w14:textId="77777777" w:rsidR="00791909" w:rsidRPr="003E7FE3" w:rsidRDefault="00791909" w:rsidP="00791909">
      <w:pPr>
        <w:pStyle w:val="ListBullet"/>
        <w:numPr>
          <w:ilvl w:val="0"/>
          <w:numId w:val="0"/>
        </w:numPr>
        <w:ind w:left="360" w:hanging="360"/>
        <w:rPr>
          <w:rFonts w:ascii="Source Sans Pro" w:hAnsi="Source Sans Pro"/>
          <w:lang w:val="fr-FR"/>
        </w:rPr>
      </w:pPr>
    </w:p>
    <w:p w14:paraId="681CD52F" w14:textId="77777777" w:rsidR="00791909" w:rsidRPr="003E7FE3" w:rsidRDefault="00791909" w:rsidP="00791909">
      <w:pPr>
        <w:pStyle w:val="ListParagraph"/>
        <w:numPr>
          <w:ilvl w:val="0"/>
          <w:numId w:val="2"/>
        </w:numPr>
        <w:spacing w:before="240" w:after="120"/>
        <w:ind w:left="425" w:hanging="425"/>
        <w:rPr>
          <w:rFonts w:ascii="Source Sans Pro" w:hAnsi="Source Sans Pro"/>
          <w:b/>
          <w:bCs/>
          <w:lang w:val="fr-FR"/>
        </w:rPr>
      </w:pPr>
      <w:r w:rsidRPr="003E7FE3">
        <w:rPr>
          <w:rFonts w:ascii="Source Sans Pro" w:hAnsi="Source Sans Pro"/>
          <w:b/>
          <w:bCs/>
          <w:lang w:val="fr-FR"/>
        </w:rPr>
        <w:t xml:space="preserve"> Exigences relatives au format de la candidature</w:t>
      </w:r>
    </w:p>
    <w:p w14:paraId="352B53A0" w14:textId="77777777" w:rsidR="00791909" w:rsidRPr="003E7FE3" w:rsidRDefault="00791909" w:rsidP="00791909">
      <w:pPr>
        <w:jc w:val="both"/>
        <w:rPr>
          <w:rFonts w:ascii="Source Sans Pro" w:hAnsi="Source Sans Pro"/>
          <w:bCs/>
          <w:lang w:val="fr"/>
        </w:rPr>
      </w:pPr>
      <w:r w:rsidRPr="003E7FE3">
        <w:rPr>
          <w:rFonts w:ascii="Source Sans Pro" w:hAnsi="Source Sans Pro"/>
          <w:bCs/>
          <w:lang w:val="fr"/>
        </w:rPr>
        <w:t xml:space="preserve">La candidature doit comprendre les documents suivants : </w:t>
      </w:r>
    </w:p>
    <w:p w14:paraId="5A33FC03" w14:textId="77777777" w:rsidR="00791909" w:rsidRPr="003E7FE3" w:rsidRDefault="00791909" w:rsidP="00791909">
      <w:pPr>
        <w:pStyle w:val="ListParagraph"/>
        <w:numPr>
          <w:ilvl w:val="0"/>
          <w:numId w:val="13"/>
        </w:numPr>
        <w:spacing w:after="60"/>
        <w:ind w:left="714" w:hanging="357"/>
        <w:jc w:val="both"/>
        <w:rPr>
          <w:rFonts w:ascii="Source Sans Pro" w:hAnsi="Source Sans Pro"/>
          <w:bCs/>
          <w:lang w:val="fr"/>
        </w:rPr>
      </w:pPr>
      <w:r w:rsidRPr="003E7FE3">
        <w:rPr>
          <w:rFonts w:ascii="Source Sans Pro" w:hAnsi="Source Sans Pro"/>
          <w:b/>
          <w:lang w:val="fr"/>
        </w:rPr>
        <w:t>Document 1.</w:t>
      </w:r>
      <w:r w:rsidRPr="003E7FE3">
        <w:rPr>
          <w:rFonts w:ascii="Source Sans Pro" w:hAnsi="Source Sans Pro"/>
          <w:bCs/>
          <w:lang w:val="fr"/>
        </w:rPr>
        <w:t xml:space="preserve"> Lettre de manifestation d’intérêt</w:t>
      </w:r>
    </w:p>
    <w:p w14:paraId="1757E598" w14:textId="77777777" w:rsidR="00791909" w:rsidRPr="003E7FE3" w:rsidRDefault="00791909" w:rsidP="00791909">
      <w:pPr>
        <w:pStyle w:val="ListParagraph"/>
        <w:numPr>
          <w:ilvl w:val="0"/>
          <w:numId w:val="13"/>
        </w:numPr>
        <w:spacing w:after="60"/>
        <w:ind w:left="714" w:hanging="357"/>
        <w:jc w:val="both"/>
        <w:rPr>
          <w:rFonts w:ascii="Source Sans Pro" w:hAnsi="Source Sans Pro"/>
          <w:bCs/>
          <w:lang w:val="fr-FR"/>
        </w:rPr>
      </w:pPr>
      <w:r w:rsidRPr="003E7FE3">
        <w:rPr>
          <w:rFonts w:ascii="Source Sans Pro" w:hAnsi="Source Sans Pro"/>
          <w:b/>
          <w:lang w:val="fr-FR"/>
        </w:rPr>
        <w:t>Document 2.</w:t>
      </w:r>
      <w:r w:rsidRPr="003E7FE3">
        <w:rPr>
          <w:rFonts w:ascii="Source Sans Pro" w:hAnsi="Source Sans Pro"/>
          <w:bCs/>
          <w:lang w:val="fr-FR"/>
        </w:rPr>
        <w:t xml:space="preserve"> Note conceptuelle : La structure de l'offre doit correspondre à la structure des termes de référence. En particulier, la structure détaillée du concept organisationnel. Il doit être lisible (taille de police 11 ou plus) et clairement formulé. La note conceptuelle ne doit pas dépasser 20 pages (hors CV).</w:t>
      </w:r>
    </w:p>
    <w:p w14:paraId="220FBE47" w14:textId="77777777" w:rsidR="00791909" w:rsidRPr="003E7FE3" w:rsidRDefault="00791909" w:rsidP="00791909">
      <w:pPr>
        <w:pStyle w:val="ListParagraph"/>
        <w:numPr>
          <w:ilvl w:val="0"/>
          <w:numId w:val="13"/>
        </w:numPr>
        <w:spacing w:after="60"/>
        <w:ind w:left="714" w:hanging="357"/>
        <w:jc w:val="both"/>
        <w:rPr>
          <w:rFonts w:ascii="Source Sans Pro" w:hAnsi="Source Sans Pro"/>
          <w:bCs/>
          <w:lang w:val="fr-FR"/>
        </w:rPr>
      </w:pPr>
      <w:r w:rsidRPr="003E7FE3">
        <w:rPr>
          <w:rFonts w:ascii="Source Sans Pro" w:hAnsi="Source Sans Pro"/>
          <w:b/>
          <w:lang w:val="fr-FR"/>
        </w:rPr>
        <w:t>Document 3.</w:t>
      </w:r>
      <w:r w:rsidRPr="003E7FE3">
        <w:rPr>
          <w:rFonts w:ascii="Source Sans Pro" w:hAnsi="Source Sans Pro"/>
          <w:bCs/>
          <w:lang w:val="fr-FR"/>
        </w:rPr>
        <w:t xml:space="preserve"> </w:t>
      </w:r>
      <w:proofErr w:type="gramStart"/>
      <w:r w:rsidRPr="003E7FE3">
        <w:rPr>
          <w:rFonts w:ascii="Source Sans Pro" w:hAnsi="Source Sans Pro"/>
          <w:bCs/>
          <w:lang w:val="fr-FR"/>
        </w:rPr>
        <w:t>CV:</w:t>
      </w:r>
      <w:proofErr w:type="gramEnd"/>
      <w:r w:rsidRPr="003E7FE3">
        <w:rPr>
          <w:rFonts w:ascii="Source Sans Pro" w:hAnsi="Source Sans Pro"/>
          <w:bCs/>
          <w:lang w:val="fr-FR"/>
        </w:rPr>
        <w:t xml:space="preserve">  Les CV du consultant conformément au secteur de qualification et d'expérience des </w:t>
      </w:r>
      <w:proofErr w:type="spellStart"/>
      <w:r w:rsidRPr="003E7FE3">
        <w:rPr>
          <w:rFonts w:ascii="Source Sans Pro" w:hAnsi="Source Sans Pro"/>
          <w:bCs/>
          <w:lang w:val="fr-FR"/>
        </w:rPr>
        <w:t>TdR</w:t>
      </w:r>
      <w:proofErr w:type="spellEnd"/>
      <w:r w:rsidRPr="003E7FE3">
        <w:rPr>
          <w:rFonts w:ascii="Source Sans Pro" w:hAnsi="Source Sans Pro"/>
          <w:bCs/>
          <w:lang w:val="fr-FR"/>
        </w:rPr>
        <w:t xml:space="preserve"> doivent être soumis. Les CV doivent clairement indiquer le poste et l'emploi que la personne proposée a occupés dans le projet de référence et pendant combien de temps.</w:t>
      </w:r>
    </w:p>
    <w:p w14:paraId="51037D43" w14:textId="77777777" w:rsidR="00791909" w:rsidRPr="003E7FE3" w:rsidRDefault="00791909" w:rsidP="00791909">
      <w:pPr>
        <w:pStyle w:val="ListParagraph"/>
        <w:jc w:val="both"/>
        <w:rPr>
          <w:rFonts w:ascii="Source Sans Pro" w:hAnsi="Source Sans Pro"/>
          <w:bCs/>
          <w:lang w:val="fr-FR"/>
        </w:rPr>
      </w:pPr>
    </w:p>
    <w:p w14:paraId="0DE95A85" w14:textId="77777777" w:rsidR="00791909" w:rsidRPr="003E7FE3" w:rsidRDefault="00791909" w:rsidP="00791909">
      <w:pPr>
        <w:pStyle w:val="Heading1"/>
        <w:numPr>
          <w:ilvl w:val="0"/>
          <w:numId w:val="14"/>
        </w:numPr>
        <w:tabs>
          <w:tab w:val="clear" w:pos="720"/>
          <w:tab w:val="num" w:pos="360"/>
        </w:tabs>
        <w:spacing w:before="240" w:after="120"/>
        <w:ind w:left="567" w:hanging="567"/>
        <w:rPr>
          <w:rFonts w:ascii="Source Sans Pro" w:eastAsia="Times New Roman" w:hAnsi="Source Sans Pro"/>
          <w:color w:val="auto"/>
          <w:sz w:val="24"/>
          <w:szCs w:val="24"/>
        </w:rPr>
      </w:pPr>
      <w:proofErr w:type="spellStart"/>
      <w:r w:rsidRPr="003E7FE3">
        <w:rPr>
          <w:rFonts w:ascii="Source Sans Pro" w:eastAsia="Times New Roman" w:hAnsi="Source Sans Pro"/>
          <w:color w:val="auto"/>
          <w:sz w:val="24"/>
          <w:szCs w:val="24"/>
        </w:rPr>
        <w:lastRenderedPageBreak/>
        <w:t>Soumission</w:t>
      </w:r>
      <w:proofErr w:type="spellEnd"/>
      <w:r w:rsidRPr="003E7FE3">
        <w:rPr>
          <w:rFonts w:ascii="Source Sans Pro" w:eastAsia="Times New Roman" w:hAnsi="Source Sans Pro"/>
          <w:color w:val="auto"/>
          <w:sz w:val="24"/>
          <w:szCs w:val="24"/>
        </w:rPr>
        <w:t xml:space="preserve"> des candidatures</w:t>
      </w:r>
    </w:p>
    <w:p w14:paraId="4C42585D" w14:textId="1BFFCF56" w:rsidR="00791909" w:rsidRPr="003E7FE3" w:rsidRDefault="00791909" w:rsidP="00791909">
      <w:pPr>
        <w:spacing w:after="120"/>
        <w:jc w:val="both"/>
        <w:rPr>
          <w:rFonts w:ascii="Source Sans Pro" w:hAnsi="Source Sans Pro"/>
          <w:bCs/>
          <w:lang w:val="fr-FR"/>
        </w:rPr>
      </w:pPr>
      <w:r w:rsidRPr="003E7FE3">
        <w:rPr>
          <w:rFonts w:ascii="Source Sans Pro" w:hAnsi="Source Sans Pro"/>
          <w:bCs/>
          <w:lang w:val="fr-FR"/>
        </w:rPr>
        <w:t xml:space="preserve">Les demandes doivent être soumises au plus tard le : 12 septembre 2023 à 17h00 GMT, via la demande de fichier Dropbox : </w:t>
      </w:r>
      <w:r w:rsidR="00000000">
        <w:fldChar w:fldCharType="begin"/>
      </w:r>
      <w:r w:rsidR="00000000" w:rsidRPr="005060E2">
        <w:rPr>
          <w:lang w:val="fr-FR"/>
        </w:rPr>
        <w:instrText>HYPERLINK "https://www.dropbox.com/request/RWIzzZoB2yEMQrM9ZUHQ"</w:instrText>
      </w:r>
      <w:r w:rsidR="00000000">
        <w:fldChar w:fldCharType="separate"/>
      </w:r>
      <w:r w:rsidRPr="003E7FE3">
        <w:rPr>
          <w:rStyle w:val="Hyperlink"/>
          <w:color w:val="auto"/>
          <w:lang w:val="fr-FR"/>
        </w:rPr>
        <w:t>https://www.dropbox.com/request/RWIzzZoB2yEMQrM9ZUHQ</w:t>
      </w:r>
      <w:r w:rsidR="00000000">
        <w:rPr>
          <w:rStyle w:val="Hyperlink"/>
          <w:color w:val="auto"/>
          <w:lang w:val="fr-FR"/>
        </w:rPr>
        <w:fldChar w:fldCharType="end"/>
      </w:r>
    </w:p>
    <w:p w14:paraId="2844BC88" w14:textId="334FFC78" w:rsidR="00791909" w:rsidRPr="003E7FE3" w:rsidRDefault="00791909" w:rsidP="00791909">
      <w:pPr>
        <w:spacing w:after="120"/>
        <w:jc w:val="both"/>
        <w:rPr>
          <w:rFonts w:ascii="Source Sans Pro" w:hAnsi="Source Sans Pro"/>
          <w:bCs/>
          <w:lang w:val="fr-FR"/>
        </w:rPr>
      </w:pPr>
      <w:r w:rsidRPr="003E7FE3">
        <w:rPr>
          <w:rFonts w:ascii="Source Sans Pro" w:hAnsi="Source Sans Pro"/>
          <w:bCs/>
          <w:lang w:val="fr-FR"/>
        </w:rPr>
        <w:t xml:space="preserve">Tous les documents doivent être inclus dans un </w:t>
      </w:r>
      <w:r w:rsidRPr="003E7FE3">
        <w:rPr>
          <w:rFonts w:ascii="Source Sans Pro" w:hAnsi="Source Sans Pro"/>
          <w:b/>
          <w:lang w:val="fr-FR"/>
        </w:rPr>
        <w:t>seul fichier PDF</w:t>
      </w:r>
      <w:r w:rsidRPr="003E7FE3">
        <w:rPr>
          <w:rFonts w:ascii="Source Sans Pro" w:hAnsi="Source Sans Pro"/>
          <w:bCs/>
          <w:lang w:val="fr-FR"/>
        </w:rPr>
        <w:t xml:space="preserve"> nommé comme suit : « SCI</w:t>
      </w:r>
      <w:r w:rsidR="005060E2">
        <w:rPr>
          <w:rFonts w:ascii="Source Sans Pro" w:hAnsi="Source Sans Pro"/>
          <w:bCs/>
          <w:lang w:val="fr-FR"/>
        </w:rPr>
        <w:t>036</w:t>
      </w:r>
      <w:r w:rsidRPr="003E7FE3">
        <w:rPr>
          <w:rFonts w:ascii="Source Sans Pro" w:hAnsi="Source Sans Pro"/>
          <w:bCs/>
          <w:lang w:val="fr-FR"/>
        </w:rPr>
        <w:t>-Nom du candidat ».</w:t>
      </w:r>
    </w:p>
    <w:p w14:paraId="70017197" w14:textId="77777777" w:rsidR="00791909" w:rsidRPr="003E7FE3" w:rsidRDefault="00791909" w:rsidP="00791909">
      <w:pPr>
        <w:pStyle w:val="Heading1"/>
        <w:numPr>
          <w:ilvl w:val="0"/>
          <w:numId w:val="14"/>
        </w:numPr>
        <w:tabs>
          <w:tab w:val="clear" w:pos="720"/>
          <w:tab w:val="num" w:pos="360"/>
        </w:tabs>
        <w:spacing w:before="240" w:after="120"/>
        <w:ind w:left="567" w:hanging="567"/>
        <w:rPr>
          <w:rFonts w:ascii="Source Sans Pro" w:eastAsia="Times New Roman" w:hAnsi="Source Sans Pro"/>
          <w:color w:val="auto"/>
          <w:sz w:val="24"/>
          <w:szCs w:val="24"/>
        </w:rPr>
      </w:pPr>
      <w:r w:rsidRPr="003E7FE3">
        <w:rPr>
          <w:rFonts w:ascii="Source Sans Pro" w:eastAsia="Times New Roman" w:hAnsi="Source Sans Pro"/>
          <w:color w:val="auto"/>
          <w:sz w:val="24"/>
          <w:szCs w:val="24"/>
        </w:rPr>
        <w:t xml:space="preserve">Demande information </w:t>
      </w:r>
      <w:proofErr w:type="spellStart"/>
      <w:r w:rsidRPr="003E7FE3">
        <w:rPr>
          <w:rFonts w:ascii="Source Sans Pro" w:eastAsia="Times New Roman" w:hAnsi="Source Sans Pro"/>
          <w:color w:val="auto"/>
          <w:sz w:val="24"/>
          <w:szCs w:val="24"/>
        </w:rPr>
        <w:t>complémentaires</w:t>
      </w:r>
      <w:proofErr w:type="spellEnd"/>
    </w:p>
    <w:p w14:paraId="026F92F0" w14:textId="638873D7" w:rsidR="00791909" w:rsidRPr="003E7FE3" w:rsidRDefault="00791909" w:rsidP="00791909">
      <w:pPr>
        <w:jc w:val="both"/>
        <w:rPr>
          <w:bCs/>
          <w:lang w:val="fr-FR"/>
        </w:rPr>
      </w:pPr>
      <w:bookmarkStart w:id="0" w:name="_Hlk143830564"/>
      <w:r w:rsidRPr="003E7FE3">
        <w:rPr>
          <w:rFonts w:ascii="Source Sans Pro" w:hAnsi="Source Sans Pro"/>
          <w:bCs/>
          <w:lang w:val="fr-FR"/>
        </w:rPr>
        <w:t xml:space="preserve">Les consultants intéressés peuvent obtenir de plus amples informations en écrivant aux adresses </w:t>
      </w:r>
      <w:proofErr w:type="gramStart"/>
      <w:r w:rsidRPr="003E7FE3">
        <w:rPr>
          <w:rFonts w:ascii="Source Sans Pro" w:hAnsi="Source Sans Pro"/>
          <w:bCs/>
          <w:lang w:val="fr-FR"/>
        </w:rPr>
        <w:t>e-mail</w:t>
      </w:r>
      <w:proofErr w:type="gramEnd"/>
      <w:r w:rsidRPr="003E7FE3">
        <w:rPr>
          <w:rFonts w:ascii="Source Sans Pro" w:hAnsi="Source Sans Pro"/>
          <w:bCs/>
          <w:lang w:val="fr-FR"/>
        </w:rPr>
        <w:t xml:space="preserve"> suivantes : procurement@araa.org cc : ctienon@araa.org, </w:t>
      </w:r>
      <w:hyperlink r:id="rId10" w:history="1">
        <w:r w:rsidRPr="003E7FE3">
          <w:rPr>
            <w:rStyle w:val="Hyperlink"/>
            <w:rFonts w:ascii="Source Sans Pro" w:hAnsi="Source Sans Pro"/>
            <w:bCs/>
            <w:color w:val="auto"/>
            <w:lang w:val="fr-FR"/>
          </w:rPr>
          <w:t>mnakorba@araa.org</w:t>
        </w:r>
      </w:hyperlink>
      <w:r w:rsidRPr="003E7FE3">
        <w:rPr>
          <w:rFonts w:ascii="Source Sans Pro" w:hAnsi="Source Sans Pro"/>
          <w:bCs/>
          <w:lang w:val="fr-FR"/>
        </w:rPr>
        <w:t xml:space="preserve"> </w:t>
      </w:r>
      <w:hyperlink r:id="rId11" w:history="1">
        <w:r w:rsidRPr="003E7FE3">
          <w:rPr>
            <w:rStyle w:val="Hyperlink"/>
            <w:rFonts w:ascii="Source Sans Pro" w:hAnsi="Source Sans Pro"/>
            <w:bCs/>
            <w:color w:val="auto"/>
            <w:lang w:val="fr-FR"/>
          </w:rPr>
          <w:t>badebowale@ecowas.int</w:t>
        </w:r>
      </w:hyperlink>
      <w:r w:rsidRPr="003E7FE3">
        <w:rPr>
          <w:rFonts w:ascii="Source Sans Pro" w:hAnsi="Source Sans Pro"/>
          <w:bCs/>
          <w:lang w:val="fr-FR"/>
        </w:rPr>
        <w:t xml:space="preserve">  </w:t>
      </w:r>
      <w:hyperlink r:id="rId12" w:history="1"/>
      <w:r w:rsidRPr="003E7FE3">
        <w:rPr>
          <w:rFonts w:ascii="Source Sans Pro" w:hAnsi="Source Sans Pro"/>
          <w:bCs/>
          <w:lang w:val="fr-FR"/>
        </w:rPr>
        <w:t xml:space="preserve"> avec le sujet « </w:t>
      </w:r>
      <w:r w:rsidRPr="003E7FE3">
        <w:rPr>
          <w:rFonts w:ascii="Source Sans Pro" w:hAnsi="Source Sans Pro"/>
          <w:b/>
          <w:lang w:val="fr-FR"/>
        </w:rPr>
        <w:t>SCI</w:t>
      </w:r>
      <w:r w:rsidR="005060E2">
        <w:rPr>
          <w:rFonts w:ascii="Source Sans Pro" w:hAnsi="Source Sans Pro"/>
          <w:b/>
          <w:lang w:val="fr-FR"/>
        </w:rPr>
        <w:t>036</w:t>
      </w:r>
      <w:r w:rsidRPr="003E7FE3">
        <w:rPr>
          <w:rFonts w:ascii="Source Sans Pro" w:hAnsi="Source Sans Pro"/>
          <w:b/>
          <w:lang w:val="fr-FR"/>
        </w:rPr>
        <w:t>- ERO-</w:t>
      </w:r>
      <w:proofErr w:type="spellStart"/>
      <w:r w:rsidR="000274AF" w:rsidRPr="003E7FE3">
        <w:rPr>
          <w:rFonts w:ascii="Source Sans Pro" w:hAnsi="Source Sans Pro"/>
          <w:b/>
          <w:lang w:val="fr-FR"/>
        </w:rPr>
        <w:t>Mecanization</w:t>
      </w:r>
      <w:proofErr w:type="spellEnd"/>
      <w:r w:rsidR="000274AF" w:rsidRPr="003E7FE3">
        <w:rPr>
          <w:rFonts w:ascii="Source Sans Pro" w:hAnsi="Source Sans Pro"/>
          <w:b/>
          <w:lang w:val="fr-FR"/>
        </w:rPr>
        <w:t xml:space="preserve"> solutions</w:t>
      </w:r>
      <w:r w:rsidRPr="003E7FE3">
        <w:rPr>
          <w:rFonts w:ascii="Source Sans Pro" w:hAnsi="Source Sans Pro"/>
          <w:bCs/>
          <w:lang w:val="fr-FR"/>
        </w:rPr>
        <w:t> ».</w:t>
      </w:r>
    </w:p>
    <w:bookmarkEnd w:id="0"/>
    <w:p w14:paraId="0AF66DCC" w14:textId="28CF34FA" w:rsidR="00484AB2" w:rsidRPr="003E7FE3" w:rsidRDefault="00484AB2" w:rsidP="00791909">
      <w:pPr>
        <w:spacing w:before="240" w:after="120"/>
        <w:rPr>
          <w:rFonts w:ascii="Source Sans Pro" w:hAnsi="Source Sans Pro"/>
          <w:bCs/>
          <w:lang w:val="fr-FR"/>
        </w:rPr>
      </w:pPr>
    </w:p>
    <w:sectPr w:rsidR="00484AB2" w:rsidRPr="003E7FE3">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3BB01" w14:textId="77777777" w:rsidR="00D93D4C" w:rsidRDefault="00D93D4C">
      <w:pPr>
        <w:spacing w:line="240" w:lineRule="auto"/>
      </w:pPr>
      <w:r>
        <w:separator/>
      </w:r>
    </w:p>
  </w:endnote>
  <w:endnote w:type="continuationSeparator" w:id="0">
    <w:p w14:paraId="05449F45" w14:textId="77777777" w:rsidR="00D93D4C" w:rsidRDefault="00D93D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445214"/>
      <w:docPartObj>
        <w:docPartGallery w:val="AutoText"/>
      </w:docPartObj>
    </w:sdtPr>
    <w:sdtContent>
      <w:p w14:paraId="7598A665" w14:textId="77777777" w:rsidR="00791909" w:rsidRDefault="00791909">
        <w:pPr>
          <w:pStyle w:val="Footer"/>
          <w:jc w:val="right"/>
        </w:pPr>
        <w:r>
          <w:fldChar w:fldCharType="begin"/>
        </w:r>
        <w:r>
          <w:instrText xml:space="preserve"> PAGE   \* MERGEFORMAT </w:instrText>
        </w:r>
        <w:r>
          <w:fldChar w:fldCharType="separate"/>
        </w:r>
        <w: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261104"/>
    </w:sdtPr>
    <w:sdtContent>
      <w:p w14:paraId="7701261B" w14:textId="57978F4B" w:rsidR="00484AB2" w:rsidRDefault="00000000" w:rsidP="00791909">
        <w:pPr>
          <w:pStyle w:val="Footer"/>
          <w:jc w:val="right"/>
        </w:pPr>
        <w:r>
          <w:fldChar w:fldCharType="begin"/>
        </w:r>
        <w:r>
          <w:instrText xml:space="preserve"> PAGE   \* MERGEFORMAT </w:instrText>
        </w:r>
        <w:r>
          <w:fldChar w:fldCharType="separate"/>
        </w:r>
        <w: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8D1D2" w14:textId="77777777" w:rsidR="00D93D4C" w:rsidRDefault="00D93D4C">
      <w:pPr>
        <w:spacing w:after="0"/>
      </w:pPr>
      <w:r>
        <w:separator/>
      </w:r>
    </w:p>
  </w:footnote>
  <w:footnote w:type="continuationSeparator" w:id="0">
    <w:p w14:paraId="1B838062" w14:textId="77777777" w:rsidR="00D93D4C" w:rsidRDefault="00D93D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CD07A" w14:textId="11866AF1" w:rsidR="00484AB2" w:rsidRDefault="00000000">
    <w:pPr>
      <w:pStyle w:val="Header"/>
    </w:pPr>
    <w:r>
      <w:rPr>
        <w:rFonts w:ascii="Arial" w:hAnsi="Arial" w:cs="Arial"/>
        <w:b/>
        <w:color w:val="FFFFFF"/>
        <w:sz w:val="20"/>
        <w:szCs w:val="20"/>
      </w:rPr>
      <w:t xml:space="preserve">TERM OF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E6E565F"/>
    <w:multiLevelType w:val="multilevel"/>
    <w:tmpl w:val="0E6E5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951992"/>
    <w:multiLevelType w:val="multilevel"/>
    <w:tmpl w:val="0E95199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31745A"/>
    <w:multiLevelType w:val="multilevel"/>
    <w:tmpl w:val="1A31745A"/>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15:restartNumberingAfterBreak="0">
    <w:nsid w:val="39ED6792"/>
    <w:multiLevelType w:val="multilevel"/>
    <w:tmpl w:val="39ED6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C443E2D"/>
    <w:multiLevelType w:val="multilevel"/>
    <w:tmpl w:val="EA3C8B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D5A6311"/>
    <w:multiLevelType w:val="multilevel"/>
    <w:tmpl w:val="3D5A63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45D688E"/>
    <w:multiLevelType w:val="multilevel"/>
    <w:tmpl w:val="445D688E"/>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B44E44"/>
    <w:multiLevelType w:val="multilevel"/>
    <w:tmpl w:val="54B44E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A6E0293"/>
    <w:multiLevelType w:val="multilevel"/>
    <w:tmpl w:val="5A6E02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39520C7"/>
    <w:multiLevelType w:val="hybridMultilevel"/>
    <w:tmpl w:val="5C0214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40E2A0E"/>
    <w:multiLevelType w:val="multilevel"/>
    <w:tmpl w:val="640E2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8122F46"/>
    <w:multiLevelType w:val="multilevel"/>
    <w:tmpl w:val="78122F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FD01D56"/>
    <w:multiLevelType w:val="multilevel"/>
    <w:tmpl w:val="3788BF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9804851">
    <w:abstractNumId w:val="0"/>
  </w:num>
  <w:num w:numId="2" w16cid:durableId="1305233262">
    <w:abstractNumId w:val="2"/>
  </w:num>
  <w:num w:numId="3" w16cid:durableId="168011216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305744793">
    <w:abstractNumId w:val="7"/>
  </w:num>
  <w:num w:numId="5" w16cid:durableId="676544108">
    <w:abstractNumId w:val="11"/>
  </w:num>
  <w:num w:numId="6" w16cid:durableId="588196815">
    <w:abstractNumId w:val="1"/>
  </w:num>
  <w:num w:numId="7" w16cid:durableId="1539658351">
    <w:abstractNumId w:val="6"/>
  </w:num>
  <w:num w:numId="8" w16cid:durableId="856700382">
    <w:abstractNumId w:val="12"/>
  </w:num>
  <w:num w:numId="9" w16cid:durableId="1161123312">
    <w:abstractNumId w:val="4"/>
  </w:num>
  <w:num w:numId="10" w16cid:durableId="1393113255">
    <w:abstractNumId w:val="9"/>
  </w:num>
  <w:num w:numId="11" w16cid:durableId="567351684">
    <w:abstractNumId w:val="8"/>
  </w:num>
  <w:num w:numId="12" w16cid:durableId="10561298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0306039">
    <w:abstractNumId w:val="10"/>
  </w:num>
  <w:num w:numId="14" w16cid:durableId="10531195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316"/>
    <w:rsid w:val="0000067E"/>
    <w:rsid w:val="0000436F"/>
    <w:rsid w:val="00013AFB"/>
    <w:rsid w:val="000274AF"/>
    <w:rsid w:val="00060E4E"/>
    <w:rsid w:val="00063A7F"/>
    <w:rsid w:val="00076343"/>
    <w:rsid w:val="0008425C"/>
    <w:rsid w:val="00085E01"/>
    <w:rsid w:val="00097125"/>
    <w:rsid w:val="00105390"/>
    <w:rsid w:val="001166D7"/>
    <w:rsid w:val="001E529C"/>
    <w:rsid w:val="0026062A"/>
    <w:rsid w:val="002F0ED8"/>
    <w:rsid w:val="002F6FC5"/>
    <w:rsid w:val="00302EAD"/>
    <w:rsid w:val="003137D8"/>
    <w:rsid w:val="00367E6A"/>
    <w:rsid w:val="003B6316"/>
    <w:rsid w:val="003C1E16"/>
    <w:rsid w:val="003C2024"/>
    <w:rsid w:val="003C6574"/>
    <w:rsid w:val="003E7FE3"/>
    <w:rsid w:val="003F7191"/>
    <w:rsid w:val="00421CFC"/>
    <w:rsid w:val="004348AA"/>
    <w:rsid w:val="004407AF"/>
    <w:rsid w:val="0047195A"/>
    <w:rsid w:val="00476149"/>
    <w:rsid w:val="00484AB2"/>
    <w:rsid w:val="004931B0"/>
    <w:rsid w:val="004959FA"/>
    <w:rsid w:val="004B37D6"/>
    <w:rsid w:val="004E5E8C"/>
    <w:rsid w:val="0050238D"/>
    <w:rsid w:val="005060E2"/>
    <w:rsid w:val="005061E2"/>
    <w:rsid w:val="005068B2"/>
    <w:rsid w:val="00507964"/>
    <w:rsid w:val="005140B9"/>
    <w:rsid w:val="005619D8"/>
    <w:rsid w:val="00581710"/>
    <w:rsid w:val="00590688"/>
    <w:rsid w:val="00591E92"/>
    <w:rsid w:val="005A26A7"/>
    <w:rsid w:val="005A5F3B"/>
    <w:rsid w:val="005D7EE1"/>
    <w:rsid w:val="00610C4D"/>
    <w:rsid w:val="00640D4E"/>
    <w:rsid w:val="00681B6D"/>
    <w:rsid w:val="006908FA"/>
    <w:rsid w:val="006A10D2"/>
    <w:rsid w:val="006F6342"/>
    <w:rsid w:val="00703C44"/>
    <w:rsid w:val="0073116B"/>
    <w:rsid w:val="007768A0"/>
    <w:rsid w:val="00791909"/>
    <w:rsid w:val="0079214A"/>
    <w:rsid w:val="007C5F1E"/>
    <w:rsid w:val="007D7B6C"/>
    <w:rsid w:val="007E0EA5"/>
    <w:rsid w:val="007E14BE"/>
    <w:rsid w:val="00840C0A"/>
    <w:rsid w:val="008A77EC"/>
    <w:rsid w:val="008B6FE0"/>
    <w:rsid w:val="008E50D8"/>
    <w:rsid w:val="008F582B"/>
    <w:rsid w:val="008F75CF"/>
    <w:rsid w:val="00911BF8"/>
    <w:rsid w:val="009628E7"/>
    <w:rsid w:val="009747AE"/>
    <w:rsid w:val="00975E0E"/>
    <w:rsid w:val="0099106A"/>
    <w:rsid w:val="009A65CA"/>
    <w:rsid w:val="009A7EAE"/>
    <w:rsid w:val="009D305C"/>
    <w:rsid w:val="009D46A7"/>
    <w:rsid w:val="00A10948"/>
    <w:rsid w:val="00A30757"/>
    <w:rsid w:val="00A407E4"/>
    <w:rsid w:val="00A85CDD"/>
    <w:rsid w:val="00A87DFD"/>
    <w:rsid w:val="00AF6345"/>
    <w:rsid w:val="00B0309F"/>
    <w:rsid w:val="00B049DB"/>
    <w:rsid w:val="00B32DBF"/>
    <w:rsid w:val="00B517D7"/>
    <w:rsid w:val="00B54E89"/>
    <w:rsid w:val="00B554C6"/>
    <w:rsid w:val="00B67BDC"/>
    <w:rsid w:val="00B71E41"/>
    <w:rsid w:val="00B74FD2"/>
    <w:rsid w:val="00B94D91"/>
    <w:rsid w:val="00BB439A"/>
    <w:rsid w:val="00BF3B04"/>
    <w:rsid w:val="00BF77CF"/>
    <w:rsid w:val="00C24F81"/>
    <w:rsid w:val="00C51BF8"/>
    <w:rsid w:val="00C62F08"/>
    <w:rsid w:val="00C72DA0"/>
    <w:rsid w:val="00C85CEE"/>
    <w:rsid w:val="00C9266F"/>
    <w:rsid w:val="00CE00B3"/>
    <w:rsid w:val="00CE60F0"/>
    <w:rsid w:val="00D25E1F"/>
    <w:rsid w:val="00D31E68"/>
    <w:rsid w:val="00D31F0D"/>
    <w:rsid w:val="00D3570E"/>
    <w:rsid w:val="00D51B9B"/>
    <w:rsid w:val="00D553E5"/>
    <w:rsid w:val="00D617F0"/>
    <w:rsid w:val="00D64CC1"/>
    <w:rsid w:val="00D741CC"/>
    <w:rsid w:val="00D924B0"/>
    <w:rsid w:val="00D93D4C"/>
    <w:rsid w:val="00DA10F2"/>
    <w:rsid w:val="00DB021C"/>
    <w:rsid w:val="00DB5255"/>
    <w:rsid w:val="00DE6683"/>
    <w:rsid w:val="00E0342C"/>
    <w:rsid w:val="00E07D89"/>
    <w:rsid w:val="00E754C0"/>
    <w:rsid w:val="00E84041"/>
    <w:rsid w:val="00EA3497"/>
    <w:rsid w:val="00EB3EAC"/>
    <w:rsid w:val="00EE6298"/>
    <w:rsid w:val="00EF65EC"/>
    <w:rsid w:val="00F07F23"/>
    <w:rsid w:val="00F351E6"/>
    <w:rsid w:val="00F52FF2"/>
    <w:rsid w:val="00F6091C"/>
    <w:rsid w:val="00F9137E"/>
    <w:rsid w:val="00FF7E88"/>
    <w:rsid w:val="05E536F9"/>
    <w:rsid w:val="143F7F12"/>
    <w:rsid w:val="29F45FE0"/>
    <w:rsid w:val="371F245D"/>
    <w:rsid w:val="40313238"/>
    <w:rsid w:val="41851226"/>
    <w:rsid w:val="42B87C26"/>
    <w:rsid w:val="55B9396A"/>
    <w:rsid w:val="67E433C0"/>
    <w:rsid w:val="6899636B"/>
    <w:rsid w:val="6A324466"/>
    <w:rsid w:val="6C021959"/>
    <w:rsid w:val="6D2A26E3"/>
    <w:rsid w:val="6F96347E"/>
    <w:rsid w:val="70DB3924"/>
    <w:rsid w:val="71D17F93"/>
    <w:rsid w:val="72F0628F"/>
    <w:rsid w:val="73CF4FC6"/>
    <w:rsid w:val="751E3006"/>
    <w:rsid w:val="7757386D"/>
    <w:rsid w:val="779427CB"/>
    <w:rsid w:val="7DC26C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A0128"/>
  <w15:docId w15:val="{455080D8-04F4-44AD-B8E3-C67AF2D58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qFormat="1"/>
    <w:lsdException w:name="Medium Grid 1 Accent 3" w:uiPriority="67" w:qFormat="1"/>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ListBullet">
    <w:name w:val="List Bullet"/>
    <w:basedOn w:val="Normal"/>
    <w:uiPriority w:val="99"/>
    <w:unhideWhenUsed/>
    <w:qFormat/>
    <w:pPr>
      <w:numPr>
        <w:numId w:val="1"/>
      </w:numPr>
      <w:contextualSpacing/>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6">
    <w:name w:val="Light List Accent 6"/>
    <w:basedOn w:val="TableNormal"/>
    <w:uiPriority w:val="61"/>
    <w:qFormat/>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MediumList1-Accent4">
    <w:name w:val="Medium List 1 Accent 4"/>
    <w:basedOn w:val="TableNormal"/>
    <w:uiPriority w:val="65"/>
    <w:rPr>
      <w:color w:val="000000" w:themeColor="text1"/>
    </w:rPr>
    <w:tblPr>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qFormat/>
    <w:rPr>
      <w:rFonts w:asciiTheme="majorHAnsi" w:eastAsiaTheme="majorEastAsia" w:hAnsiTheme="majorHAnsi" w:cstheme="majorBidi"/>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3">
    <w:name w:val="Medium Grid 1 Accent 3"/>
    <w:basedOn w:val="TableNormal"/>
    <w:uiPriority w:val="67"/>
    <w:qFormat/>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paragraph" w:styleId="ListParagraph">
    <w:name w:val="List Paragraph"/>
    <w:aliases w:val="Listes"/>
    <w:basedOn w:val="Normal"/>
    <w:link w:val="ListParagraphChar"/>
    <w:uiPriority w:val="34"/>
    <w:qFormat/>
    <w:pPr>
      <w:spacing w:after="0" w:line="240" w:lineRule="auto"/>
      <w:ind w:left="720"/>
    </w:pPr>
    <w:rPr>
      <w:rFonts w:ascii="Calibri" w:hAnsi="Calibri" w:cs="Calibri"/>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sz w:val="28"/>
      <w:szCs w:val="28"/>
    </w:rPr>
  </w:style>
  <w:style w:type="paragraph" w:customStyle="1" w:styleId="Default">
    <w:name w:val="Default"/>
    <w:qFormat/>
    <w:pPr>
      <w:autoSpaceDE w:val="0"/>
      <w:autoSpaceDN w:val="0"/>
      <w:adjustRightInd w:val="0"/>
    </w:pPr>
    <w:rPr>
      <w:rFonts w:ascii="Cambria" w:eastAsia="Calibri" w:hAnsi="Cambria" w:cs="Cambria"/>
      <w:color w:val="000000"/>
      <w:sz w:val="24"/>
      <w:szCs w:val="24"/>
      <w:lang w:val="en-US" w:eastAsia="en-US"/>
    </w:rPr>
  </w:style>
  <w:style w:type="character" w:customStyle="1" w:styleId="ListParagraphChar">
    <w:name w:val="List Paragraph Char"/>
    <w:aliases w:val="Listes Char"/>
    <w:link w:val="ListParagraph"/>
    <w:uiPriority w:val="34"/>
    <w:qFormat/>
    <w:locked/>
    <w:rPr>
      <w:rFonts w:ascii="Calibri" w:hAnsi="Calibri" w:cs="Calibri"/>
    </w:rPr>
  </w:style>
  <w:style w:type="paragraph" w:customStyle="1" w:styleId="Revision1">
    <w:name w:val="Revision1"/>
    <w:hidden/>
    <w:uiPriority w:val="99"/>
    <w:semiHidden/>
    <w:qFormat/>
    <w:rPr>
      <w:sz w:val="22"/>
      <w:szCs w:val="22"/>
      <w:lang w:val="en-US" w:eastAsia="en-US"/>
    </w:rPr>
  </w:style>
  <w:style w:type="paragraph" w:styleId="Revision">
    <w:name w:val="Revision"/>
    <w:hidden/>
    <w:uiPriority w:val="99"/>
    <w:unhideWhenUsed/>
    <w:rsid w:val="00791909"/>
    <w:rPr>
      <w:sz w:val="22"/>
      <w:szCs w:val="22"/>
      <w:lang w:val="en-US" w:eastAsia="en-US"/>
    </w:rPr>
  </w:style>
  <w:style w:type="character" w:styleId="Hyperlink">
    <w:name w:val="Hyperlink"/>
    <w:basedOn w:val="DefaultParagraphFont"/>
    <w:uiPriority w:val="99"/>
    <w:unhideWhenUsed/>
    <w:rsid w:val="007919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adebowale@ecowas.i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debowale@ecowas.i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nakorba@araa.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1962</Words>
  <Characters>10793</Characters>
  <Application>Microsoft Office Word</Application>
  <DocSecurity>0</DocSecurity>
  <Lines>89</Lines>
  <Paragraphs>25</Paragraphs>
  <ScaleCrop>false</ScaleCrop>
  <Company>Hewlett-Packard</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Boladale Oluyomi Abiola ADEBOWALE &lt;badebowale@ecowas.int&gt;</dc:creator>
  <cp:lastModifiedBy>Celestin Tienon</cp:lastModifiedBy>
  <cp:revision>10</cp:revision>
  <dcterms:created xsi:type="dcterms:W3CDTF">2023-07-15T02:16:00Z</dcterms:created>
  <dcterms:modified xsi:type="dcterms:W3CDTF">2023-08-25T13:26:00Z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f4adf7-25a7-4f52-a61a-df7190f1d881_Enabled">
    <vt:lpwstr>true</vt:lpwstr>
  </property>
  <property fmtid="{D5CDD505-2E9C-101B-9397-08002B2CF9AE}" pid="3" name="MSIP_Label_9ef4adf7-25a7-4f52-a61a-df7190f1d881_SetDate">
    <vt:lpwstr>2023-06-08T19:13:04Z</vt:lpwstr>
  </property>
  <property fmtid="{D5CDD505-2E9C-101B-9397-08002B2CF9AE}" pid="4" name="MSIP_Label_9ef4adf7-25a7-4f52-a61a-df7190f1d881_Method">
    <vt:lpwstr>Standard</vt:lpwstr>
  </property>
  <property fmtid="{D5CDD505-2E9C-101B-9397-08002B2CF9AE}" pid="5" name="MSIP_Label_9ef4adf7-25a7-4f52-a61a-df7190f1d881_Name">
    <vt:lpwstr>Category C - Protected</vt:lpwstr>
  </property>
  <property fmtid="{D5CDD505-2E9C-101B-9397-08002B2CF9AE}" pid="6" name="MSIP_Label_9ef4adf7-25a7-4f52-a61a-df7190f1d881_SiteId">
    <vt:lpwstr>8fa69c26-409d-43e5-973c-17a8be1a7f35</vt:lpwstr>
  </property>
  <property fmtid="{D5CDD505-2E9C-101B-9397-08002B2CF9AE}" pid="7" name="MSIP_Label_9ef4adf7-25a7-4f52-a61a-df7190f1d881_ActionId">
    <vt:lpwstr>9552b0c2-a2a0-4fdf-a6fb-6af2344d4fb7</vt:lpwstr>
  </property>
  <property fmtid="{D5CDD505-2E9C-101B-9397-08002B2CF9AE}" pid="8" name="MSIP_Label_9ef4adf7-25a7-4f52-a61a-df7190f1d881_ContentBits">
    <vt:lpwstr>1</vt:lpwstr>
  </property>
  <property fmtid="{D5CDD505-2E9C-101B-9397-08002B2CF9AE}" pid="9" name="KSOProductBuildVer">
    <vt:lpwstr>1033-11.2.0.11537</vt:lpwstr>
  </property>
  <property fmtid="{D5CDD505-2E9C-101B-9397-08002B2CF9AE}" pid="10" name="ICV">
    <vt:lpwstr>36F31A1089C4426DBC0786466B9DFEF4</vt:lpwstr>
  </property>
  <property fmtid="{D5CDD505-2E9C-101B-9397-08002B2CF9AE}" pid="11" name="MSIP_Label_defa4170-0d19-0005-0004-bc88714345d2_Enabled">
    <vt:lpwstr>true</vt:lpwstr>
  </property>
  <property fmtid="{D5CDD505-2E9C-101B-9397-08002B2CF9AE}" pid="12" name="MSIP_Label_defa4170-0d19-0005-0004-bc88714345d2_SetDate">
    <vt:lpwstr>2023-08-25T05:33:41Z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d4134cc8-6ff1-4db1-98dd-a79d80883f3d</vt:lpwstr>
  </property>
  <property fmtid="{D5CDD505-2E9C-101B-9397-08002B2CF9AE}" pid="16" name="MSIP_Label_defa4170-0d19-0005-0004-bc88714345d2_ActionId">
    <vt:lpwstr>a1092fce-b882-4dfe-96e5-87ba2ff11da8</vt:lpwstr>
  </property>
  <property fmtid="{D5CDD505-2E9C-101B-9397-08002B2CF9AE}" pid="17" name="MSIP_Label_defa4170-0d19-0005-0004-bc88714345d2_ContentBits">
    <vt:lpwstr>0</vt:lpwstr>
  </property>
</Properties>
</file>